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39735024" w:rsidR="00424AE0" w:rsidRPr="00696F63" w:rsidRDefault="00424AE0" w:rsidP="00424AE0">
      <w:pPr>
        <w:tabs>
          <w:tab w:val="left" w:pos="1985"/>
        </w:tabs>
        <w:jc w:val="both"/>
        <w:rPr>
          <w:rFonts w:ascii="Arial" w:eastAsia="MS Mincho" w:hAnsi="Arial" w:cs="Arial"/>
          <w:b/>
          <w:bCs/>
          <w:noProof/>
          <w:sz w:val="28"/>
        </w:rPr>
      </w:pPr>
      <w:r w:rsidRPr="00696F63">
        <w:rPr>
          <w:rFonts w:ascii="Arial" w:eastAsia="MS Mincho" w:hAnsi="Arial" w:cs="Arial"/>
          <w:b/>
          <w:bCs/>
          <w:noProof/>
          <w:sz w:val="28"/>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B2298D" w:rsidRPr="00696F63">
        <w:rPr>
          <w:rFonts w:ascii="Arial" w:eastAsia="MS Mincho" w:hAnsi="Arial" w:cs="Arial"/>
          <w:b/>
          <w:bCs/>
          <w:noProof/>
          <w:sz w:val="28"/>
        </w:rPr>
        <w:t>3GPP TSG RAN WG1 #1</w:t>
      </w:r>
      <w:r w:rsidR="001A6376" w:rsidRPr="00696F63">
        <w:rPr>
          <w:rFonts w:ascii="Arial" w:eastAsia="MS Mincho" w:hAnsi="Arial" w:cs="Arial"/>
          <w:b/>
          <w:bCs/>
          <w:noProof/>
          <w:sz w:val="28"/>
        </w:rPr>
        <w:t>2</w:t>
      </w:r>
      <w:r w:rsidR="004A0FA5">
        <w:rPr>
          <w:rFonts w:ascii="Arial" w:eastAsia="MS Mincho" w:hAnsi="Arial" w:cs="Arial"/>
          <w:b/>
          <w:bCs/>
          <w:noProof/>
          <w:sz w:val="28"/>
        </w:rPr>
        <w:t>3</w:t>
      </w:r>
      <w:r w:rsidR="00C76BC2" w:rsidRPr="00696F63">
        <w:rPr>
          <w:rFonts w:ascii="Arial" w:eastAsia="MS Mincho" w:hAnsi="Arial" w:cs="Arial"/>
          <w:b/>
          <w:bCs/>
          <w:noProof/>
          <w:sz w:val="28"/>
        </w:rPr>
        <w:t xml:space="preserve">  </w:t>
      </w:r>
      <w:r w:rsidRPr="00696F63">
        <w:rPr>
          <w:rFonts w:ascii="Arial" w:eastAsia="MS Mincho" w:hAnsi="Arial" w:cs="Arial"/>
          <w:b/>
          <w:bCs/>
          <w:noProof/>
          <w:sz w:val="28"/>
        </w:rPr>
        <w:t xml:space="preserve"> </w:t>
      </w:r>
      <w:r w:rsidR="005F33FC" w:rsidRPr="00696F63">
        <w:rPr>
          <w:rFonts w:ascii="Arial" w:eastAsia="MS Mincho" w:hAnsi="Arial" w:cs="Arial"/>
          <w:b/>
          <w:bCs/>
          <w:noProof/>
          <w:sz w:val="28"/>
        </w:rPr>
        <w:t xml:space="preserve">        </w:t>
      </w:r>
      <w:r w:rsidRPr="00696F63">
        <w:rPr>
          <w:rFonts w:ascii="Arial" w:eastAsia="MS Mincho" w:hAnsi="Arial" w:cs="Arial"/>
          <w:b/>
          <w:bCs/>
          <w:noProof/>
          <w:sz w:val="28"/>
        </w:rPr>
        <w:tab/>
        <w:t xml:space="preserve">                                   </w:t>
      </w:r>
      <w:r w:rsidR="00232993" w:rsidRPr="00232993">
        <w:rPr>
          <w:rFonts w:ascii="Arial" w:eastAsia="MS Mincho" w:hAnsi="Arial" w:cs="Arial"/>
          <w:b/>
          <w:bCs/>
          <w:noProof/>
          <w:sz w:val="28"/>
        </w:rPr>
        <w:t>R1-2509144</w:t>
      </w:r>
    </w:p>
    <w:p w14:paraId="3F4A827A" w14:textId="5B918FC2" w:rsidR="00424AE0" w:rsidRPr="00696F63" w:rsidRDefault="004A0FA5" w:rsidP="00424AE0">
      <w:pPr>
        <w:tabs>
          <w:tab w:val="left" w:pos="1985"/>
        </w:tabs>
        <w:jc w:val="both"/>
        <w:rPr>
          <w:rFonts w:ascii="Arial" w:eastAsia="MS Mincho" w:hAnsi="Arial" w:cs="Arial"/>
          <w:b/>
          <w:bCs/>
          <w:noProof/>
          <w:sz w:val="28"/>
        </w:rPr>
      </w:pPr>
      <w:r w:rsidRPr="004A0FA5">
        <w:rPr>
          <w:rFonts w:ascii="Arial" w:eastAsia="MS Mincho" w:hAnsi="Arial" w:cs="Arial"/>
          <w:b/>
          <w:bCs/>
          <w:sz w:val="28"/>
          <w:lang w:eastAsia="ja-JP"/>
        </w:rPr>
        <w:t>Dallas, USA, Nov 17th – 21st, 2025</w:t>
      </w:r>
    </w:p>
    <w:p w14:paraId="788309BB" w14:textId="5967A165"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Agenda Item:</w:t>
      </w:r>
      <w:r w:rsidR="00BC445E" w:rsidRPr="00696F63">
        <w:rPr>
          <w:rFonts w:ascii="Arial" w:eastAsia="MS Mincho" w:hAnsi="Arial" w:cs="Arial"/>
          <w:b/>
          <w:bCs/>
          <w:noProof/>
          <w:sz w:val="28"/>
        </w:rPr>
        <w:t xml:space="preserve"> 11</w:t>
      </w:r>
      <w:r w:rsidR="00517634" w:rsidRPr="00696F63">
        <w:rPr>
          <w:rFonts w:ascii="Arial" w:eastAsia="MS Mincho" w:hAnsi="Arial" w:cs="Arial"/>
          <w:b/>
          <w:bCs/>
          <w:noProof/>
          <w:sz w:val="28"/>
        </w:rPr>
        <w:t>.</w:t>
      </w:r>
      <w:r w:rsidR="00BC445E" w:rsidRPr="00696F63">
        <w:rPr>
          <w:rFonts w:ascii="Arial" w:eastAsia="MS Mincho" w:hAnsi="Arial" w:cs="Arial"/>
          <w:b/>
          <w:bCs/>
          <w:noProof/>
          <w:sz w:val="28"/>
        </w:rPr>
        <w:t>3</w:t>
      </w:r>
      <w:r w:rsidR="00517634" w:rsidRPr="00696F63">
        <w:rPr>
          <w:rFonts w:ascii="Arial" w:eastAsia="MS Mincho" w:hAnsi="Arial" w:cs="Arial"/>
          <w:b/>
          <w:bCs/>
          <w:noProof/>
          <w:sz w:val="28"/>
        </w:rPr>
        <w:t>.2</w:t>
      </w:r>
    </w:p>
    <w:p w14:paraId="561932C8" w14:textId="77777777"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Source: MediaTek Inc.</w:t>
      </w:r>
    </w:p>
    <w:p w14:paraId="1FBE1992" w14:textId="38524092"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 xml:space="preserve">Title: </w:t>
      </w:r>
      <w:r w:rsidR="00BC445E" w:rsidRPr="00696F63">
        <w:rPr>
          <w:rFonts w:ascii="Arial" w:eastAsia="MS Mincho" w:hAnsi="Arial" w:cs="Arial"/>
          <w:b/>
          <w:bCs/>
          <w:noProof/>
          <w:sz w:val="28"/>
        </w:rPr>
        <w:t>6G frame structure and numerology</w:t>
      </w:r>
    </w:p>
    <w:p w14:paraId="5AE7B3A1" w14:textId="77777777" w:rsidR="005F7FBB" w:rsidRPr="00696F63" w:rsidRDefault="005F7FBB" w:rsidP="005F7FBB">
      <w:pPr>
        <w:tabs>
          <w:tab w:val="left" w:pos="1985"/>
        </w:tabs>
        <w:jc w:val="both"/>
        <w:rPr>
          <w:rFonts w:ascii="Arial" w:hAnsi="Arial" w:cs="Arial"/>
          <w:b/>
          <w:bCs/>
          <w:noProof/>
          <w:sz w:val="28"/>
          <w:lang w:eastAsia="zh-TW"/>
        </w:rPr>
      </w:pPr>
      <w:r w:rsidRPr="00696F63">
        <w:rPr>
          <w:rFonts w:ascii="Arial" w:eastAsia="MS Mincho" w:hAnsi="Arial" w:cs="Arial"/>
          <w:b/>
          <w:bCs/>
          <w:noProof/>
          <w:sz w:val="28"/>
        </w:rPr>
        <w:t>Document for: Discussion and decision</w:t>
      </w:r>
    </w:p>
    <w:p w14:paraId="578E4757" w14:textId="36CA6E32" w:rsidR="00D07935" w:rsidRPr="00696F63" w:rsidRDefault="005F7FBB" w:rsidP="0033293B">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rPr>
        <w:t>Introduction</w:t>
      </w:r>
      <w:bookmarkEnd w:id="0"/>
      <w:bookmarkEnd w:id="1"/>
    </w:p>
    <w:p w14:paraId="2888F2A1" w14:textId="0853C176" w:rsidR="0021004B" w:rsidRPr="007F2D74" w:rsidRDefault="0021004B" w:rsidP="0021004B">
      <w:pPr>
        <w:spacing w:line="256" w:lineRule="auto"/>
        <w:contextualSpacing/>
        <w:rPr>
          <w:rFonts w:ascii="Times New Roman" w:eastAsiaTheme="minorEastAsia" w:hAnsi="Times New Roman"/>
          <w:lang w:eastAsia="zh-TW"/>
        </w:rPr>
      </w:pPr>
      <w:r w:rsidRPr="007F2D74">
        <w:rPr>
          <w:rFonts w:ascii="Times New Roman" w:hAnsi="Times New Roman"/>
          <w:lang w:eastAsia="zh-TW"/>
        </w:rPr>
        <w:t xml:space="preserve">In the </w:t>
      </w:r>
      <w:r w:rsidR="001E4211" w:rsidRPr="007F2D74">
        <w:rPr>
          <w:rFonts w:ascii="Times New Roman" w:hAnsi="Times New Roman"/>
          <w:lang w:eastAsia="zh-TW"/>
        </w:rPr>
        <w:t>S</w:t>
      </w:r>
      <w:r w:rsidRPr="007F2D74">
        <w:rPr>
          <w:rFonts w:ascii="Times New Roman" w:hAnsi="Times New Roman"/>
          <w:lang w:eastAsia="zh-TW"/>
        </w:rPr>
        <w:t>ID of Rel-</w:t>
      </w:r>
      <w:r w:rsidR="001E4211" w:rsidRPr="007F2D74">
        <w:rPr>
          <w:rFonts w:ascii="Times New Roman" w:hAnsi="Times New Roman"/>
          <w:lang w:eastAsia="zh-TW"/>
        </w:rPr>
        <w:t>20</w:t>
      </w:r>
      <w:r w:rsidRPr="007F2D74">
        <w:rPr>
          <w:rFonts w:ascii="Times New Roman" w:hAnsi="Times New Roman"/>
          <w:lang w:eastAsia="zh-TW"/>
        </w:rPr>
        <w:t xml:space="preserve"> </w:t>
      </w:r>
      <w:r w:rsidR="001E4211" w:rsidRPr="007F2D74">
        <w:rPr>
          <w:rFonts w:ascii="Times New Roman" w:hAnsi="Times New Roman"/>
          <w:lang w:eastAsia="zh-TW"/>
        </w:rPr>
        <w:t>6G study</w:t>
      </w:r>
      <w:r w:rsidRPr="007F2D74">
        <w:rPr>
          <w:rFonts w:ascii="Times New Roman" w:hAnsi="Times New Roman"/>
          <w:lang w:eastAsia="zh-TW"/>
        </w:rPr>
        <w:t xml:space="preserve"> [1], the objective of</w:t>
      </w:r>
      <w:r w:rsidR="001E4211" w:rsidRPr="007F2D74">
        <w:rPr>
          <w:rFonts w:ascii="Times New Roman" w:hAnsi="Times New Roman"/>
          <w:lang w:eastAsia="zh-TW"/>
        </w:rPr>
        <w:t xml:space="preserve"> frame structure and numerology</w:t>
      </w:r>
      <w:r w:rsidRPr="007F2D74">
        <w:rPr>
          <w:rFonts w:ascii="Times New Roman" w:hAnsi="Times New Roman"/>
          <w:lang w:eastAsia="zh-TW"/>
        </w:rPr>
        <w:t xml:space="preserve"> are listed as below:</w:t>
      </w:r>
    </w:p>
    <w:p w14:paraId="32C8B162" w14:textId="27F86F6B" w:rsidR="00BE2810" w:rsidRPr="007F2D74" w:rsidRDefault="00BE2810" w:rsidP="00EA5B00">
      <w:pPr>
        <w:spacing w:after="160" w:line="259" w:lineRule="auto"/>
        <w:contextualSpacing/>
        <w:rPr>
          <w:rFonts w:ascii="Times New Roman" w:eastAsiaTheme="minorEastAsia" w:hAnsi="Times New Roman"/>
          <w:lang w:eastAsia="zh-TW"/>
        </w:rPr>
      </w:pPr>
    </w:p>
    <w:p w14:paraId="0922F2C5" w14:textId="57EAB9DB" w:rsidR="001E4211" w:rsidRPr="007F2D74" w:rsidRDefault="001E4211" w:rsidP="001E4211">
      <w:pPr>
        <w:overflowPunct w:val="0"/>
        <w:autoSpaceDE w:val="0"/>
        <w:autoSpaceDN w:val="0"/>
        <w:adjustRightInd w:val="0"/>
        <w:spacing w:after="120"/>
        <w:ind w:firstLineChars="200" w:firstLine="400"/>
        <w:contextualSpacing/>
        <w:rPr>
          <w:rFonts w:ascii="Times New Roman" w:eastAsia="MS Mincho" w:hAnsi="Times New Roman"/>
          <w:color w:val="000000"/>
          <w:szCs w:val="20"/>
          <w:lang w:eastAsia="en-GB"/>
        </w:rPr>
      </w:pPr>
      <w:r w:rsidRPr="007F2D74">
        <w:rPr>
          <w:rFonts w:ascii="Times New Roman" w:eastAsia="MS Mincho" w:hAnsi="Times New Roman"/>
          <w:color w:val="000000"/>
          <w:szCs w:val="20"/>
          <w:lang w:eastAsia="en-GB"/>
        </w:rPr>
        <w:t xml:space="preserve">(2)  Physical Layer structure for 6GR, </w:t>
      </w:r>
    </w:p>
    <w:p w14:paraId="5716E51C" w14:textId="41935F71" w:rsidR="001E4211" w:rsidRPr="007F2D74" w:rsidRDefault="001E4211" w:rsidP="00354F43">
      <w:pPr>
        <w:pStyle w:val="a8"/>
        <w:numPr>
          <w:ilvl w:val="1"/>
          <w:numId w:val="3"/>
        </w:numPr>
        <w:overflowPunct w:val="0"/>
        <w:autoSpaceDE w:val="0"/>
        <w:autoSpaceDN w:val="0"/>
        <w:adjustRightInd w:val="0"/>
        <w:spacing w:after="120"/>
        <w:ind w:leftChars="0"/>
        <w:contextualSpacing/>
        <w:rPr>
          <w:rFonts w:ascii="Times New Roman" w:eastAsia="MS Mincho" w:hAnsi="Times New Roman"/>
          <w:color w:val="000000" w:themeColor="text1"/>
          <w:szCs w:val="20"/>
          <w:lang w:eastAsia="en-GB"/>
        </w:rPr>
      </w:pPr>
      <w:r w:rsidRPr="007F2D74">
        <w:rPr>
          <w:rFonts w:ascii="Times New Roman" w:hAnsi="Times New Roman"/>
          <w:color w:val="000000" w:themeColor="text1"/>
        </w:rPr>
        <w:t>…</w:t>
      </w:r>
    </w:p>
    <w:p w14:paraId="246056F0" w14:textId="77777777" w:rsidR="001E4211" w:rsidRPr="007F2D74" w:rsidRDefault="001E4211" w:rsidP="00354F43">
      <w:pPr>
        <w:pStyle w:val="a8"/>
        <w:numPr>
          <w:ilvl w:val="1"/>
          <w:numId w:val="3"/>
        </w:numPr>
        <w:overflowPunct w:val="0"/>
        <w:autoSpaceDE w:val="0"/>
        <w:autoSpaceDN w:val="0"/>
        <w:adjustRightInd w:val="0"/>
        <w:spacing w:after="120"/>
        <w:ind w:leftChars="0"/>
        <w:contextualSpacing/>
        <w:rPr>
          <w:rFonts w:ascii="Times New Roman" w:hAnsi="Times New Roman"/>
          <w:color w:val="000000" w:themeColor="text1"/>
        </w:rPr>
      </w:pPr>
      <w:r w:rsidRPr="007F2D74">
        <w:rPr>
          <w:rFonts w:ascii="Times New Roman" w:hAnsi="Times New Roman"/>
          <w:color w:val="000000" w:themeColor="text1"/>
          <w:highlight w:val="yellow"/>
        </w:rPr>
        <w:t>Frame structure, including compatibility with 5G NR to allow for efficient 5G-6G Multi-RAT Spectrum Sharing (MRSS). [RAN1]</w:t>
      </w:r>
    </w:p>
    <w:p w14:paraId="1EF40104" w14:textId="01A08CFD" w:rsidR="001E4211" w:rsidRPr="007F2D74" w:rsidRDefault="001E4211" w:rsidP="00354F43">
      <w:pPr>
        <w:pStyle w:val="a8"/>
        <w:numPr>
          <w:ilvl w:val="1"/>
          <w:numId w:val="3"/>
        </w:numPr>
        <w:overflowPunct w:val="0"/>
        <w:autoSpaceDE w:val="0"/>
        <w:autoSpaceDN w:val="0"/>
        <w:adjustRightInd w:val="0"/>
        <w:spacing w:after="120"/>
        <w:ind w:leftChars="0"/>
        <w:contextualSpacing/>
        <w:rPr>
          <w:rFonts w:ascii="Times New Roman" w:hAnsi="Times New Roman"/>
          <w:color w:val="000000" w:themeColor="text1"/>
        </w:rPr>
      </w:pPr>
      <w:r w:rsidRPr="007F2D74">
        <w:rPr>
          <w:rFonts w:ascii="Times New Roman" w:hAnsi="Times New Roman"/>
          <w:color w:val="000000" w:themeColor="text1"/>
        </w:rPr>
        <w:t>…</w:t>
      </w:r>
    </w:p>
    <w:p w14:paraId="11D7C967" w14:textId="77777777" w:rsidR="001E4211" w:rsidRPr="007F2D74" w:rsidRDefault="001E4211" w:rsidP="00354F43">
      <w:pPr>
        <w:pStyle w:val="a8"/>
        <w:numPr>
          <w:ilvl w:val="1"/>
          <w:numId w:val="3"/>
        </w:numPr>
        <w:overflowPunct w:val="0"/>
        <w:autoSpaceDE w:val="0"/>
        <w:autoSpaceDN w:val="0"/>
        <w:adjustRightInd w:val="0"/>
        <w:spacing w:after="120"/>
        <w:ind w:leftChars="0"/>
        <w:contextualSpacing/>
        <w:rPr>
          <w:rFonts w:ascii="Times New Roman" w:hAnsi="Times New Roman"/>
          <w:color w:val="000000" w:themeColor="text1"/>
        </w:rPr>
      </w:pPr>
      <w:r w:rsidRPr="007F2D74">
        <w:rPr>
          <w:rFonts w:ascii="Times New Roman" w:hAnsi="Times New Roman"/>
          <w:color w:val="000000" w:themeColor="text1"/>
        </w:rPr>
        <w:t xml:space="preserve">Channel Bandwidth (at least minimum and maximum), </w:t>
      </w:r>
      <w:r w:rsidRPr="007F2D74">
        <w:rPr>
          <w:rFonts w:ascii="Times New Roman" w:hAnsi="Times New Roman"/>
          <w:color w:val="000000" w:themeColor="text1"/>
          <w:highlight w:val="yellow"/>
        </w:rPr>
        <w:t>Numerology, avoiding multiple numerologies for the same band / sub-range (e.g., enabling synergies among frequency bands in the ~7GHz range)</w:t>
      </w:r>
      <w:r w:rsidRPr="007F2D74">
        <w:rPr>
          <w:rFonts w:ascii="Times New Roman" w:hAnsi="Times New Roman"/>
          <w:color w:val="000000" w:themeColor="text1"/>
          <w:lang w:eastAsia="ja-JP"/>
        </w:rPr>
        <w:t xml:space="preserve"> </w:t>
      </w:r>
      <w:r w:rsidRPr="007F2D74">
        <w:rPr>
          <w:rFonts w:ascii="Times New Roman" w:hAnsi="Times New Roman"/>
          <w:color w:val="000000" w:themeColor="text1"/>
        </w:rPr>
        <w:t>[</w:t>
      </w:r>
      <w:r w:rsidRPr="007F2D74">
        <w:rPr>
          <w:rFonts w:ascii="Times New Roman" w:hAnsi="Times New Roman"/>
          <w:color w:val="000000" w:themeColor="text1"/>
          <w:highlight w:val="yellow"/>
        </w:rPr>
        <w:t>RAN1</w:t>
      </w:r>
      <w:r w:rsidRPr="007F2D74">
        <w:rPr>
          <w:rFonts w:ascii="Times New Roman" w:hAnsi="Times New Roman"/>
          <w:color w:val="000000" w:themeColor="text1"/>
        </w:rPr>
        <w:t>, RAN4]</w:t>
      </w:r>
    </w:p>
    <w:p w14:paraId="6D1701C7" w14:textId="77777777" w:rsidR="0021004B" w:rsidRPr="007F2D74" w:rsidRDefault="0021004B" w:rsidP="00A72E93">
      <w:pPr>
        <w:spacing w:after="160" w:line="259" w:lineRule="auto"/>
        <w:contextualSpacing/>
        <w:rPr>
          <w:rFonts w:ascii="Times New Roman" w:eastAsiaTheme="minorEastAsia" w:hAnsi="Times New Roman"/>
          <w:lang w:eastAsia="zh-TW"/>
        </w:rPr>
      </w:pPr>
    </w:p>
    <w:p w14:paraId="38382421" w14:textId="646AE0DC" w:rsidR="003A3F38" w:rsidRPr="007F2D74" w:rsidRDefault="003A3F38" w:rsidP="00A72E93">
      <w:pPr>
        <w:spacing w:after="160" w:line="259" w:lineRule="auto"/>
        <w:contextualSpacing/>
        <w:rPr>
          <w:rFonts w:ascii="Times New Roman" w:eastAsiaTheme="minorEastAsia" w:hAnsi="Times New Roman"/>
          <w:lang w:eastAsia="zh-TW"/>
        </w:rPr>
      </w:pPr>
      <w:r w:rsidRPr="007F2D74">
        <w:rPr>
          <w:rFonts w:ascii="Times New Roman" w:eastAsiaTheme="minorEastAsia" w:hAnsi="Times New Roman"/>
          <w:lang w:eastAsia="zh-TW"/>
        </w:rPr>
        <w:t>In RAN1 #122</w:t>
      </w:r>
      <w:r w:rsidR="004A0FA5">
        <w:rPr>
          <w:rFonts w:ascii="Times New Roman" w:eastAsiaTheme="minorEastAsia" w:hAnsi="Times New Roman"/>
          <w:lang w:eastAsia="zh-TW"/>
        </w:rPr>
        <w:t>-bis</w:t>
      </w:r>
      <w:r w:rsidRPr="007F2D74">
        <w:rPr>
          <w:rFonts w:ascii="Times New Roman" w:eastAsiaTheme="minorEastAsia" w:hAnsi="Times New Roman"/>
          <w:lang w:eastAsia="zh-TW"/>
        </w:rPr>
        <w:t xml:space="preserve"> [2], the following is agreed:</w:t>
      </w:r>
    </w:p>
    <w:p w14:paraId="7EAFC0B2" w14:textId="77777777" w:rsidR="003A3F38" w:rsidRDefault="003A3F38" w:rsidP="00A72E93">
      <w:pPr>
        <w:spacing w:after="160" w:line="259" w:lineRule="auto"/>
        <w:contextualSpacing/>
        <w:rPr>
          <w:rFonts w:ascii="Times New Roman" w:eastAsiaTheme="minorEastAsia" w:hAnsi="Times New Roman"/>
          <w:lang w:eastAsia="zh-TW"/>
        </w:rPr>
      </w:pPr>
    </w:p>
    <w:p w14:paraId="6619D4C3" w14:textId="7DBF4B86" w:rsidR="004A0FA5" w:rsidRDefault="004A0FA5" w:rsidP="004A0FA5">
      <w:pPr>
        <w:ind w:leftChars="100" w:left="200"/>
        <w:rPr>
          <w:rFonts w:eastAsia="新細明體" w:cs="Times"/>
          <w:szCs w:val="20"/>
          <w:lang w:eastAsia="zh-TW"/>
        </w:rPr>
      </w:pPr>
      <w:r>
        <w:rPr>
          <w:rFonts w:cs="Times"/>
          <w:szCs w:val="20"/>
          <w:highlight w:val="green"/>
        </w:rPr>
        <w:t>Agreement</w:t>
      </w:r>
    </w:p>
    <w:p w14:paraId="080439AD" w14:textId="77777777" w:rsidR="004A0FA5" w:rsidRDefault="004A0FA5" w:rsidP="004A0FA5">
      <w:pPr>
        <w:ind w:leftChars="100" w:left="200"/>
        <w:rPr>
          <w:rFonts w:cs="Times"/>
          <w:szCs w:val="20"/>
        </w:rPr>
      </w:pPr>
      <w:r>
        <w:rPr>
          <w:rFonts w:cs="Times"/>
          <w:szCs w:val="20"/>
        </w:rPr>
        <w:t xml:space="preserve">6GR study assumes </w:t>
      </w:r>
      <w:r>
        <w:rPr>
          <w:rFonts w:cs="Times"/>
          <w:szCs w:val="20"/>
          <w:highlight w:val="yellow"/>
        </w:rPr>
        <w:t>same SCS between 6GR Sync signals and other channels/signals</w:t>
      </w:r>
      <w:r>
        <w:rPr>
          <w:rFonts w:cs="Times"/>
          <w:szCs w:val="20"/>
        </w:rPr>
        <w:t xml:space="preserve"> (except PRACH) </w:t>
      </w:r>
      <w:r>
        <w:rPr>
          <w:rFonts w:cs="Times"/>
          <w:szCs w:val="20"/>
          <w:highlight w:val="yellow"/>
        </w:rPr>
        <w:t>for a given band</w:t>
      </w:r>
      <w:r>
        <w:rPr>
          <w:rFonts w:cs="Times"/>
          <w:szCs w:val="20"/>
        </w:rPr>
        <w:t xml:space="preserve">. </w:t>
      </w:r>
    </w:p>
    <w:p w14:paraId="2525467D" w14:textId="77777777" w:rsidR="004A0FA5" w:rsidRDefault="004A0FA5" w:rsidP="004A0FA5">
      <w:pPr>
        <w:numPr>
          <w:ilvl w:val="0"/>
          <w:numId w:val="32"/>
        </w:numPr>
        <w:ind w:leftChars="250" w:left="860"/>
        <w:textAlignment w:val="center"/>
        <w:rPr>
          <w:rFonts w:ascii="Calibri" w:hAnsi="Calibri" w:cs="Calibri"/>
          <w:sz w:val="22"/>
          <w:szCs w:val="22"/>
        </w:rPr>
      </w:pPr>
      <w:r>
        <w:rPr>
          <w:rFonts w:cs="Times"/>
          <w:szCs w:val="20"/>
        </w:rPr>
        <w:t>FFS: same/different SCS between 6GR sync signal and other channels/signals (except PRACH) for FR2-1.</w:t>
      </w:r>
    </w:p>
    <w:p w14:paraId="220DFC6F" w14:textId="77777777" w:rsidR="004A0FA5" w:rsidRDefault="004A0FA5" w:rsidP="004A0FA5">
      <w:pPr>
        <w:numPr>
          <w:ilvl w:val="0"/>
          <w:numId w:val="32"/>
        </w:numPr>
        <w:ind w:leftChars="250" w:left="860"/>
        <w:textAlignment w:val="center"/>
        <w:rPr>
          <w:sz w:val="22"/>
          <w:szCs w:val="22"/>
        </w:rPr>
      </w:pPr>
      <w:r>
        <w:rPr>
          <w:rFonts w:cs="Times"/>
          <w:szCs w:val="20"/>
        </w:rPr>
        <w:t>Note: ISAC is separately discussed in ISAC session.</w:t>
      </w:r>
    </w:p>
    <w:p w14:paraId="4F813F7D" w14:textId="77777777" w:rsidR="004A0FA5" w:rsidRDefault="004A0FA5" w:rsidP="004A0FA5">
      <w:pPr>
        <w:ind w:leftChars="100" w:left="200"/>
        <w:rPr>
          <w:rFonts w:cs="Times"/>
          <w:szCs w:val="20"/>
          <w:highlight w:val="green"/>
        </w:rPr>
      </w:pPr>
    </w:p>
    <w:p w14:paraId="0D99EBB2" w14:textId="4890E44C" w:rsidR="004A0FA5" w:rsidRDefault="004A0FA5" w:rsidP="004A0FA5">
      <w:pPr>
        <w:ind w:leftChars="100" w:left="200"/>
        <w:rPr>
          <w:rFonts w:cs="Times"/>
          <w:szCs w:val="20"/>
        </w:rPr>
      </w:pPr>
      <w:r>
        <w:rPr>
          <w:rFonts w:cs="Times"/>
          <w:szCs w:val="20"/>
          <w:highlight w:val="green"/>
        </w:rPr>
        <w:t>Agreement</w:t>
      </w:r>
    </w:p>
    <w:p w14:paraId="64F3B612" w14:textId="77777777" w:rsidR="004A0FA5" w:rsidRDefault="004A0FA5" w:rsidP="004A0FA5">
      <w:pPr>
        <w:ind w:leftChars="100" w:left="200"/>
        <w:rPr>
          <w:rFonts w:cs="Times"/>
          <w:szCs w:val="20"/>
        </w:rPr>
      </w:pPr>
      <w:r>
        <w:rPr>
          <w:rFonts w:cs="Times"/>
          <w:szCs w:val="20"/>
        </w:rPr>
        <w:t xml:space="preserve">RAN1 assumes </w:t>
      </w:r>
      <w:r>
        <w:rPr>
          <w:rFonts w:cs="Times"/>
          <w:szCs w:val="20"/>
          <w:highlight w:val="yellow"/>
        </w:rPr>
        <w:t>400MHz maximum channel bandwidth</w:t>
      </w:r>
      <w:r>
        <w:rPr>
          <w:rFonts w:cs="Times"/>
          <w:szCs w:val="20"/>
        </w:rPr>
        <w:t xml:space="preserve"> at </w:t>
      </w:r>
      <w:r>
        <w:rPr>
          <w:rFonts w:cs="Times"/>
          <w:szCs w:val="20"/>
          <w:highlight w:val="yellow"/>
        </w:rPr>
        <w:t>network side</w:t>
      </w:r>
      <w:r>
        <w:rPr>
          <w:rFonts w:cs="Times"/>
          <w:szCs w:val="20"/>
        </w:rPr>
        <w:t xml:space="preserve"> and </w:t>
      </w:r>
      <w:r>
        <w:rPr>
          <w:rFonts w:cs="Times"/>
          <w:szCs w:val="20"/>
          <w:highlight w:val="yellow"/>
        </w:rPr>
        <w:t xml:space="preserve">30kHz SCS around </w:t>
      </w:r>
      <w:proofErr w:type="gramStart"/>
      <w:r>
        <w:rPr>
          <w:rFonts w:cs="Times"/>
          <w:szCs w:val="20"/>
          <w:highlight w:val="yellow"/>
        </w:rPr>
        <w:t>7GHz</w:t>
      </w:r>
      <w:proofErr w:type="gramEnd"/>
    </w:p>
    <w:p w14:paraId="749CC965" w14:textId="77777777" w:rsidR="004A0FA5" w:rsidRDefault="004A0FA5" w:rsidP="004A0FA5">
      <w:pPr>
        <w:numPr>
          <w:ilvl w:val="0"/>
          <w:numId w:val="33"/>
        </w:numPr>
        <w:ind w:leftChars="250" w:left="860"/>
        <w:textAlignment w:val="center"/>
        <w:rPr>
          <w:rFonts w:ascii="Calibri" w:hAnsi="Calibri" w:cs="Calibri"/>
          <w:sz w:val="22"/>
          <w:szCs w:val="22"/>
        </w:rPr>
      </w:pPr>
      <w:r>
        <w:rPr>
          <w:rFonts w:cs="Times"/>
          <w:szCs w:val="20"/>
        </w:rPr>
        <w:t xml:space="preserve">Study </w:t>
      </w:r>
      <w:r>
        <w:rPr>
          <w:rFonts w:cs="Times"/>
          <w:szCs w:val="20"/>
          <w:highlight w:val="yellow"/>
        </w:rPr>
        <w:t xml:space="preserve">whether and how to enable UE to support 400MHz </w:t>
      </w:r>
      <w:proofErr w:type="gramStart"/>
      <w:r>
        <w:rPr>
          <w:rFonts w:cs="Times"/>
          <w:szCs w:val="20"/>
          <w:highlight w:val="yellow"/>
        </w:rPr>
        <w:t>bandwidth</w:t>
      </w:r>
      <w:proofErr w:type="gramEnd"/>
    </w:p>
    <w:p w14:paraId="2BFB7F84" w14:textId="77777777" w:rsidR="004A0FA5" w:rsidRPr="004A0FA5" w:rsidRDefault="004A0FA5" w:rsidP="00A72E93">
      <w:pPr>
        <w:spacing w:after="160" w:line="259" w:lineRule="auto"/>
        <w:contextualSpacing/>
        <w:rPr>
          <w:rFonts w:ascii="Times New Roman" w:eastAsiaTheme="minorEastAsia" w:hAnsi="Times New Roman"/>
          <w:lang w:eastAsia="zh-TW"/>
        </w:rPr>
      </w:pPr>
    </w:p>
    <w:p w14:paraId="73348C2A" w14:textId="1C0843D2" w:rsidR="004A0FA5" w:rsidRDefault="004A0FA5" w:rsidP="004A0FA5">
      <w:pPr>
        <w:ind w:leftChars="100" w:left="200"/>
        <w:rPr>
          <w:rFonts w:eastAsia="新細明體" w:cs="Times"/>
          <w:szCs w:val="20"/>
          <w:lang w:eastAsia="zh-TW"/>
        </w:rPr>
      </w:pPr>
      <w:r>
        <w:rPr>
          <w:rFonts w:cs="Times"/>
          <w:szCs w:val="20"/>
          <w:highlight w:val="green"/>
        </w:rPr>
        <w:t>Agreement</w:t>
      </w:r>
    </w:p>
    <w:p w14:paraId="41F22C7B" w14:textId="77777777" w:rsidR="004A0FA5" w:rsidRDefault="004A0FA5" w:rsidP="004A0FA5">
      <w:pPr>
        <w:ind w:leftChars="100" w:left="200"/>
        <w:rPr>
          <w:rFonts w:cs="Times"/>
          <w:szCs w:val="20"/>
        </w:rPr>
      </w:pPr>
      <w:r>
        <w:rPr>
          <w:rFonts w:cs="Times"/>
          <w:szCs w:val="20"/>
        </w:rPr>
        <w:t xml:space="preserve">For </w:t>
      </w:r>
      <w:r>
        <w:rPr>
          <w:rFonts w:cs="Times"/>
          <w:szCs w:val="20"/>
          <w:highlight w:val="yellow"/>
        </w:rPr>
        <w:t>communication</w:t>
      </w:r>
      <w:r>
        <w:rPr>
          <w:rFonts w:cs="Times"/>
          <w:szCs w:val="20"/>
        </w:rPr>
        <w:t xml:space="preserve">, </w:t>
      </w:r>
      <w:r>
        <w:rPr>
          <w:rFonts w:cs="Times"/>
          <w:szCs w:val="20"/>
          <w:highlight w:val="yellow"/>
        </w:rPr>
        <w:t>6GR considers NR frame structure used as a starting point</w:t>
      </w:r>
      <w:r>
        <w:rPr>
          <w:rFonts w:cs="Times"/>
          <w:szCs w:val="20"/>
        </w:rPr>
        <w:t xml:space="preserve"> for the study item,</w:t>
      </w:r>
    </w:p>
    <w:p w14:paraId="02A14307" w14:textId="77777777" w:rsidR="004A0FA5" w:rsidRDefault="004A0FA5" w:rsidP="004A0FA5">
      <w:pPr>
        <w:numPr>
          <w:ilvl w:val="0"/>
          <w:numId w:val="34"/>
        </w:numPr>
        <w:spacing w:after="160"/>
        <w:ind w:leftChars="250" w:left="860"/>
        <w:textAlignment w:val="center"/>
        <w:rPr>
          <w:rFonts w:ascii="Calibri" w:hAnsi="Calibri" w:cs="Calibri"/>
          <w:sz w:val="22"/>
          <w:szCs w:val="22"/>
          <w:lang w:val="en-US"/>
        </w:rPr>
      </w:pPr>
      <w:r>
        <w:rPr>
          <w:rFonts w:cs="Times"/>
          <w:szCs w:val="20"/>
        </w:rPr>
        <w:t xml:space="preserve">Resource defined by one subcarrier and one symbol is called as resource element (RE). </w:t>
      </w:r>
    </w:p>
    <w:p w14:paraId="7F951CEF" w14:textId="77777777" w:rsidR="004A0FA5" w:rsidRDefault="004A0FA5" w:rsidP="004A0FA5">
      <w:pPr>
        <w:numPr>
          <w:ilvl w:val="0"/>
          <w:numId w:val="34"/>
        </w:numPr>
        <w:spacing w:after="160"/>
        <w:ind w:leftChars="250" w:left="860"/>
        <w:textAlignment w:val="center"/>
        <w:rPr>
          <w:sz w:val="22"/>
          <w:szCs w:val="22"/>
        </w:rPr>
      </w:pPr>
      <w:r>
        <w:rPr>
          <w:rFonts w:cs="Times"/>
          <w:szCs w:val="20"/>
        </w:rPr>
        <w:t>Resource block (RB) is defined where the number of consecutive subcarriers per RB is the same for all numerologies and the number of subcarriers per RB is 12</w:t>
      </w:r>
    </w:p>
    <w:p w14:paraId="16840247" w14:textId="77777777" w:rsidR="004A0FA5" w:rsidRDefault="004A0FA5" w:rsidP="004A0FA5">
      <w:pPr>
        <w:numPr>
          <w:ilvl w:val="0"/>
          <w:numId w:val="34"/>
        </w:numPr>
        <w:spacing w:after="160"/>
        <w:ind w:leftChars="250" w:left="860"/>
        <w:textAlignment w:val="center"/>
        <w:rPr>
          <w:sz w:val="22"/>
          <w:szCs w:val="22"/>
        </w:rPr>
      </w:pPr>
      <w:r>
        <w:rPr>
          <w:rFonts w:cs="Times"/>
          <w:szCs w:val="20"/>
        </w:rPr>
        <w:t xml:space="preserve">Radio Frame length is </w:t>
      </w:r>
      <w:proofErr w:type="gramStart"/>
      <w:r>
        <w:rPr>
          <w:rFonts w:cs="Times"/>
          <w:szCs w:val="20"/>
        </w:rPr>
        <w:t>10ms</w:t>
      </w:r>
      <w:proofErr w:type="gramEnd"/>
    </w:p>
    <w:p w14:paraId="6158152A" w14:textId="77777777" w:rsidR="004A0FA5" w:rsidRDefault="004A0FA5" w:rsidP="004A0FA5">
      <w:pPr>
        <w:numPr>
          <w:ilvl w:val="0"/>
          <w:numId w:val="34"/>
        </w:numPr>
        <w:spacing w:after="160"/>
        <w:ind w:leftChars="250" w:left="860"/>
        <w:textAlignment w:val="center"/>
        <w:rPr>
          <w:sz w:val="22"/>
          <w:szCs w:val="22"/>
        </w:rPr>
      </w:pPr>
      <w:r>
        <w:rPr>
          <w:rFonts w:cs="Times"/>
          <w:szCs w:val="20"/>
        </w:rPr>
        <w:t xml:space="preserve">Each radio frame is split into 10 subframes, each with a duration of 1 </w:t>
      </w:r>
      <w:proofErr w:type="spellStart"/>
      <w:proofErr w:type="gramStart"/>
      <w:r>
        <w:rPr>
          <w:rFonts w:cs="Times"/>
          <w:szCs w:val="20"/>
        </w:rPr>
        <w:t>ms</w:t>
      </w:r>
      <w:proofErr w:type="spellEnd"/>
      <w:proofErr w:type="gramEnd"/>
    </w:p>
    <w:p w14:paraId="0B30CF04" w14:textId="77777777" w:rsidR="004A0FA5" w:rsidRDefault="004A0FA5" w:rsidP="004A0FA5">
      <w:pPr>
        <w:numPr>
          <w:ilvl w:val="0"/>
          <w:numId w:val="34"/>
        </w:numPr>
        <w:spacing w:after="160"/>
        <w:ind w:leftChars="250" w:left="860"/>
        <w:textAlignment w:val="center"/>
        <w:rPr>
          <w:sz w:val="22"/>
          <w:szCs w:val="22"/>
        </w:rPr>
      </w:pPr>
      <w:r>
        <w:rPr>
          <w:rFonts w:cs="Times"/>
          <w:szCs w:val="20"/>
        </w:rPr>
        <w:t>For given SCS and for given symbol, the symbol duration, normal CP length and boundary is same as NR design.</w:t>
      </w:r>
    </w:p>
    <w:p w14:paraId="04291F53" w14:textId="7200915C" w:rsidR="003A3F38" w:rsidRPr="004A0FA5" w:rsidRDefault="004A0FA5" w:rsidP="004A0FA5">
      <w:pPr>
        <w:numPr>
          <w:ilvl w:val="0"/>
          <w:numId w:val="34"/>
        </w:numPr>
        <w:spacing w:after="160"/>
        <w:ind w:leftChars="250" w:left="860"/>
        <w:textAlignment w:val="center"/>
        <w:rPr>
          <w:sz w:val="22"/>
          <w:szCs w:val="22"/>
        </w:rPr>
      </w:pPr>
      <w:r>
        <w:rPr>
          <w:rFonts w:cs="Times"/>
          <w:szCs w:val="20"/>
          <w:highlight w:val="yellow"/>
        </w:rPr>
        <w:t>A slot is defined</w:t>
      </w:r>
      <w:r>
        <w:rPr>
          <w:rFonts w:cs="Times"/>
          <w:szCs w:val="20"/>
        </w:rPr>
        <w:t xml:space="preserve"> as supporting 14 consecutive symbols for normal CP case and all subcarrier spacings.</w:t>
      </w:r>
    </w:p>
    <w:p w14:paraId="68FFD172" w14:textId="6DFA31CA" w:rsidR="008D3235" w:rsidRPr="007F2D74" w:rsidRDefault="008470CA" w:rsidP="00315C81">
      <w:pPr>
        <w:spacing w:after="160" w:line="259" w:lineRule="auto"/>
        <w:contextualSpacing/>
        <w:rPr>
          <w:rFonts w:ascii="Times New Roman" w:hAnsi="Times New Roman"/>
          <w:bCs/>
        </w:rPr>
      </w:pPr>
      <w:r w:rsidRPr="007F2D74">
        <w:rPr>
          <w:rFonts w:ascii="Times New Roman" w:hAnsi="Times New Roman"/>
          <w:lang w:eastAsia="zh-TW"/>
        </w:rPr>
        <w:t xml:space="preserve">This </w:t>
      </w:r>
      <w:r w:rsidR="00363CDA" w:rsidRPr="007F2D74">
        <w:rPr>
          <w:rFonts w:ascii="Times New Roman" w:hAnsi="Times New Roman"/>
          <w:lang w:eastAsia="zh-TW"/>
        </w:rPr>
        <w:t>contribution</w:t>
      </w:r>
      <w:r w:rsidRPr="007F2D74">
        <w:rPr>
          <w:rFonts w:ascii="Times New Roman" w:hAnsi="Times New Roman"/>
          <w:lang w:eastAsia="zh-TW"/>
        </w:rPr>
        <w:t xml:space="preserve"> provides our views</w:t>
      </w:r>
      <w:r w:rsidR="00552A92" w:rsidRPr="007F2D74">
        <w:rPr>
          <w:rFonts w:ascii="Times New Roman" w:hAnsi="Times New Roman"/>
          <w:lang w:eastAsia="zh-TW"/>
        </w:rPr>
        <w:t xml:space="preserve"> of </w:t>
      </w:r>
      <w:r w:rsidR="00BE2810" w:rsidRPr="007F2D74">
        <w:rPr>
          <w:rFonts w:ascii="Times New Roman" w:hAnsi="Times New Roman"/>
          <w:lang w:eastAsia="zh-TW"/>
        </w:rPr>
        <w:t>this study (</w:t>
      </w:r>
      <w:r w:rsidR="002F54B7" w:rsidRPr="007F2D74">
        <w:rPr>
          <w:rFonts w:ascii="Times New Roman" w:hAnsi="Times New Roman"/>
          <w:lang w:eastAsia="zh-TW"/>
        </w:rPr>
        <w:t>6G frame structure and numerology</w:t>
      </w:r>
      <w:r w:rsidR="00BE2810" w:rsidRPr="007F2D74">
        <w:rPr>
          <w:rFonts w:ascii="Times New Roman" w:hAnsi="Times New Roman"/>
          <w:lang w:eastAsia="zh-TW"/>
        </w:rPr>
        <w:t>)</w:t>
      </w:r>
      <w:r w:rsidRPr="007F2D74">
        <w:rPr>
          <w:rFonts w:ascii="Times New Roman" w:hAnsi="Times New Roman"/>
          <w:bCs/>
        </w:rPr>
        <w:t>.</w:t>
      </w:r>
      <w:r w:rsidR="000B49A7" w:rsidRPr="007F2D74">
        <w:rPr>
          <w:rFonts w:ascii="Times New Roman" w:hAnsi="Times New Roman"/>
          <w:bCs/>
        </w:rPr>
        <w:t xml:space="preserve"> </w:t>
      </w:r>
      <w:bookmarkStart w:id="2" w:name="OLE_LINK145"/>
      <w:bookmarkStart w:id="3" w:name="OLE_LINK182"/>
      <w:bookmarkStart w:id="4" w:name="OLE_LINK937"/>
    </w:p>
    <w:bookmarkEnd w:id="2"/>
    <w:p w14:paraId="72C55480" w14:textId="0D16760C" w:rsidR="00744871" w:rsidRPr="00696F63" w:rsidRDefault="00E02D48" w:rsidP="00E02D48">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lang w:eastAsia="zh-TW"/>
        </w:rPr>
        <w:lastRenderedPageBreak/>
        <w:t xml:space="preserve">Discussion </w:t>
      </w:r>
      <w:bookmarkStart w:id="5" w:name="OLE_LINK280"/>
      <w:r w:rsidR="006D3AA9" w:rsidRPr="00696F63">
        <w:rPr>
          <w:rFonts w:ascii="Arial" w:hAnsi="Arial" w:cs="Arial"/>
          <w:color w:val="000000"/>
          <w:sz w:val="36"/>
          <w:szCs w:val="36"/>
          <w:lang w:eastAsia="zh-TW"/>
        </w:rPr>
        <w:t>on Numerolog</w:t>
      </w:r>
      <w:r w:rsidR="00E24DAB" w:rsidRPr="00696F63">
        <w:rPr>
          <w:rFonts w:ascii="Arial" w:hAnsi="Arial" w:cs="Arial"/>
          <w:color w:val="000000"/>
          <w:sz w:val="36"/>
          <w:szCs w:val="36"/>
          <w:lang w:eastAsia="zh-TW"/>
        </w:rPr>
        <w:t>y</w:t>
      </w:r>
    </w:p>
    <w:p w14:paraId="1A57E683" w14:textId="0FA0AA87" w:rsidR="00E70C43" w:rsidRPr="00696F63" w:rsidRDefault="0021420B" w:rsidP="00E70C43">
      <w:pPr>
        <w:pStyle w:val="2"/>
        <w:rPr>
          <w:rFonts w:ascii="Arial" w:hAnsi="Arial" w:cs="Arial"/>
          <w:color w:val="auto"/>
        </w:rPr>
      </w:pPr>
      <w:bookmarkStart w:id="6" w:name="OLE_LINK238"/>
      <w:r w:rsidRPr="00696F63">
        <w:rPr>
          <w:rFonts w:ascii="Arial" w:hAnsi="Arial" w:cs="Arial"/>
          <w:color w:val="auto"/>
        </w:rPr>
        <w:t>2</w:t>
      </w:r>
      <w:r w:rsidR="00E70C43" w:rsidRPr="00696F63">
        <w:rPr>
          <w:rFonts w:ascii="Arial" w:hAnsi="Arial" w:cs="Arial"/>
          <w:color w:val="auto"/>
        </w:rPr>
        <w:t>.</w:t>
      </w:r>
      <w:r w:rsidR="009C21D4" w:rsidRPr="00696F63">
        <w:rPr>
          <w:rFonts w:ascii="Arial" w:hAnsi="Arial" w:cs="Arial"/>
          <w:color w:val="auto"/>
        </w:rPr>
        <w:t>1</w:t>
      </w:r>
      <w:r w:rsidR="00E70C43" w:rsidRPr="00696F63">
        <w:rPr>
          <w:rFonts w:ascii="Arial" w:hAnsi="Arial" w:cs="Arial"/>
          <w:color w:val="auto"/>
        </w:rPr>
        <w:t xml:space="preserve"> </w:t>
      </w:r>
      <w:r w:rsidR="006D3AA9" w:rsidRPr="00696F63">
        <w:rPr>
          <w:rFonts w:ascii="Arial" w:hAnsi="Arial" w:cs="Arial"/>
          <w:color w:val="auto"/>
        </w:rPr>
        <w:t>SCS, CBW and FFT Size</w:t>
      </w:r>
    </w:p>
    <w:bookmarkEnd w:id="6"/>
    <w:p w14:paraId="7A24BA38" w14:textId="77777777" w:rsidR="00E0349E" w:rsidRPr="00696F63" w:rsidRDefault="00E0349E" w:rsidP="00E02D48">
      <w:pPr>
        <w:rPr>
          <w:rFonts w:ascii="Times New Roman" w:eastAsia="新細明體" w:hAnsi="Times New Roman"/>
          <w:szCs w:val="20"/>
          <w:lang w:eastAsia="zh-TW"/>
        </w:rPr>
      </w:pPr>
    </w:p>
    <w:p w14:paraId="0ACCA630" w14:textId="77777777" w:rsidR="003A174E" w:rsidRPr="00696F63" w:rsidRDefault="003A174E" w:rsidP="003A174E">
      <w:pPr>
        <w:rPr>
          <w:rFonts w:ascii="Times New Roman" w:eastAsia="新細明體" w:hAnsi="Times New Roman"/>
          <w:szCs w:val="20"/>
          <w:lang w:eastAsia="zh-TW"/>
        </w:rPr>
      </w:pPr>
      <w:bookmarkStart w:id="7" w:name="OLE_LINK158"/>
      <w:r w:rsidRPr="00696F63">
        <w:rPr>
          <w:rFonts w:ascii="Times New Roman" w:eastAsia="新細明體" w:hAnsi="Times New Roman"/>
          <w:szCs w:val="20"/>
          <w:lang w:eastAsia="zh-TW"/>
        </w:rPr>
        <w:t>In 5G, the maximum CBW (channel bandwidth) for a single carrier is 100 MHz for Frequency Range 1 (FR1) and 400 MHz for Frequency Range 2 (FR2), while the most commonly used SCS (subcarrier spacing) is 15kHz for FR1 FDD, 30kHz for FR1 TDD, and 120kHz for FR2, both with max RB (resource block) number being 273 and max FFT (fast Fourier transform) size being 4096. Also, the most commonly used BW for FR1 and FR2 are both 100MHz in the field.</w:t>
      </w:r>
    </w:p>
    <w:p w14:paraId="596DC0F8" w14:textId="77777777" w:rsidR="005F4237" w:rsidRPr="00696F63" w:rsidRDefault="005F4237" w:rsidP="00E02D48">
      <w:pPr>
        <w:rPr>
          <w:rFonts w:ascii="Times New Roman" w:eastAsia="新細明體" w:hAnsi="Times New Roman"/>
          <w:szCs w:val="20"/>
          <w:lang w:eastAsia="zh-TW"/>
        </w:rPr>
      </w:pPr>
    </w:p>
    <w:p w14:paraId="1C784867" w14:textId="03B131D1" w:rsidR="003A174E" w:rsidRPr="00696F63" w:rsidRDefault="003A174E" w:rsidP="003A174E">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 1</w:t>
      </w:r>
      <w:r w:rsidRPr="00696F63">
        <w:rPr>
          <w:rFonts w:ascii="Times New Roman" w:eastAsia="新細明體" w:hAnsi="Times New Roman"/>
          <w:b/>
          <w:bCs/>
          <w:szCs w:val="20"/>
          <w:lang w:eastAsia="zh-TW"/>
        </w:rPr>
        <w:t xml:space="preserve">: In 5G, the most commonly used </w:t>
      </w:r>
      <w:r w:rsidR="003B55DC" w:rsidRPr="00696F63">
        <w:rPr>
          <w:rFonts w:ascii="Times New Roman" w:eastAsia="新細明體" w:hAnsi="Times New Roman"/>
          <w:b/>
          <w:bCs/>
          <w:szCs w:val="20"/>
          <w:lang w:eastAsia="zh-TW"/>
        </w:rPr>
        <w:t>C</w:t>
      </w:r>
      <w:r w:rsidRPr="00696F63">
        <w:rPr>
          <w:rFonts w:ascii="Times New Roman" w:eastAsia="新細明體" w:hAnsi="Times New Roman"/>
          <w:b/>
          <w:bCs/>
          <w:szCs w:val="20"/>
          <w:lang w:eastAsia="zh-TW"/>
        </w:rPr>
        <w:t>BW for FR1 and FR2 are both 100MHz in the field.</w:t>
      </w:r>
    </w:p>
    <w:p w14:paraId="4D7E4C64" w14:textId="77777777" w:rsidR="003A174E" w:rsidRPr="00696F63" w:rsidRDefault="003A174E" w:rsidP="003A174E">
      <w:pPr>
        <w:rPr>
          <w:rFonts w:ascii="Times New Roman" w:eastAsia="新細明體" w:hAnsi="Times New Roman"/>
          <w:b/>
          <w:bCs/>
          <w:szCs w:val="20"/>
          <w:lang w:eastAsia="zh-TW"/>
        </w:rPr>
      </w:pPr>
    </w:p>
    <w:p w14:paraId="01458248" w14:textId="3FD0D8C5" w:rsidR="003A174E" w:rsidRPr="00696F63" w:rsidRDefault="003A174E" w:rsidP="003A174E">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 2</w:t>
      </w:r>
      <w:r w:rsidRPr="00696F63">
        <w:rPr>
          <w:rFonts w:ascii="Times New Roman" w:eastAsia="新細明體" w:hAnsi="Times New Roman"/>
          <w:b/>
          <w:bCs/>
          <w:szCs w:val="20"/>
          <w:lang w:eastAsia="zh-TW"/>
        </w:rPr>
        <w:t>: In 5G, the most commonly used SCS (subcarrier spacing) is 15kHz for FR1 FDD, 30kHz for FR1 TDD, and 120kHz for FR2.</w:t>
      </w:r>
    </w:p>
    <w:p w14:paraId="54ADF3A3" w14:textId="77777777" w:rsidR="00675417" w:rsidRPr="00696F63" w:rsidRDefault="00675417" w:rsidP="00E02D48">
      <w:pPr>
        <w:rPr>
          <w:rFonts w:ascii="Times New Roman" w:eastAsia="新細明體" w:hAnsi="Times New Roman"/>
          <w:szCs w:val="20"/>
          <w:lang w:eastAsia="zh-TW"/>
        </w:rPr>
      </w:pPr>
    </w:p>
    <w:p w14:paraId="22D06A70" w14:textId="3759F374" w:rsidR="00675417" w:rsidRPr="00696F63" w:rsidRDefault="00EC4FD3" w:rsidP="00E02D48">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1</w:t>
      </w:r>
      <w:r w:rsidRPr="00696F63">
        <w:rPr>
          <w:rFonts w:ascii="Times New Roman" w:eastAsia="新細明體" w:hAnsi="Times New Roman"/>
          <w:b/>
          <w:bCs/>
          <w:szCs w:val="20"/>
          <w:lang w:eastAsia="zh-TW"/>
        </w:rPr>
        <w:t xml:space="preserve">: </w:t>
      </w:r>
      <w:r w:rsidR="00602FD0" w:rsidRPr="00696F63">
        <w:rPr>
          <w:rFonts w:ascii="Times New Roman" w:eastAsia="新細明體" w:hAnsi="Times New Roman"/>
          <w:b/>
          <w:bCs/>
          <w:szCs w:val="20"/>
          <w:lang w:eastAsia="zh-TW"/>
        </w:rPr>
        <w:t>For a given duplex mode (</w:t>
      </w:r>
      <w:proofErr w:type="gramStart"/>
      <w:r w:rsidR="005643AB" w:rsidRPr="00696F63">
        <w:rPr>
          <w:rFonts w:ascii="Times New Roman" w:eastAsia="新細明體" w:hAnsi="Times New Roman"/>
          <w:b/>
          <w:bCs/>
          <w:szCs w:val="20"/>
          <w:lang w:eastAsia="zh-TW"/>
        </w:rPr>
        <w:t>e.g.</w:t>
      </w:r>
      <w:proofErr w:type="gramEnd"/>
      <w:r w:rsidR="00602FD0" w:rsidRPr="00696F63">
        <w:rPr>
          <w:rFonts w:ascii="Times New Roman" w:eastAsia="新細明體" w:hAnsi="Times New Roman"/>
          <w:b/>
          <w:bCs/>
          <w:szCs w:val="20"/>
          <w:lang w:eastAsia="zh-TW"/>
        </w:rPr>
        <w:t xml:space="preserve"> FDD, TDD), s</w:t>
      </w:r>
      <w:r w:rsidR="00F12F6D" w:rsidRPr="00696F63">
        <w:rPr>
          <w:rFonts w:ascii="Times New Roman" w:eastAsia="新細明體" w:hAnsi="Times New Roman"/>
          <w:b/>
          <w:bCs/>
          <w:szCs w:val="20"/>
          <w:lang w:eastAsia="zh-TW"/>
        </w:rPr>
        <w:t>trive for single numerology (incl. SCS and CP) in a spectrum range in 6G</w:t>
      </w:r>
      <w:r w:rsidR="006654C2" w:rsidRPr="00696F63">
        <w:rPr>
          <w:rFonts w:ascii="Times New Roman" w:eastAsia="新細明體" w:hAnsi="Times New Roman"/>
          <w:b/>
          <w:bCs/>
          <w:szCs w:val="20"/>
          <w:lang w:eastAsia="zh-TW"/>
        </w:rPr>
        <w:t xml:space="preserve"> as shown in Figure 1</w:t>
      </w:r>
      <w:r w:rsidR="001D43C5" w:rsidRPr="00696F63">
        <w:rPr>
          <w:rFonts w:ascii="Times New Roman" w:eastAsia="新細明體" w:hAnsi="Times New Roman"/>
          <w:b/>
          <w:bCs/>
          <w:szCs w:val="20"/>
          <w:lang w:eastAsia="zh-TW"/>
        </w:rPr>
        <w:t>, especially for ~7GHz spectrum range</w:t>
      </w:r>
      <w:r w:rsidR="00F12F6D" w:rsidRPr="00696F63">
        <w:rPr>
          <w:rFonts w:ascii="Times New Roman" w:eastAsia="新細明體" w:hAnsi="Times New Roman"/>
          <w:b/>
          <w:bCs/>
          <w:szCs w:val="20"/>
          <w:lang w:eastAsia="zh-TW"/>
        </w:rPr>
        <w:t>.</w:t>
      </w:r>
    </w:p>
    <w:p w14:paraId="2201C14F" w14:textId="77777777" w:rsidR="00675417" w:rsidRPr="00696F63" w:rsidRDefault="00675417" w:rsidP="00E02D48">
      <w:pPr>
        <w:rPr>
          <w:rFonts w:ascii="Times New Roman" w:eastAsia="新細明體" w:hAnsi="Times New Roman"/>
          <w:szCs w:val="20"/>
          <w:lang w:eastAsia="zh-TW"/>
        </w:rPr>
      </w:pPr>
    </w:p>
    <w:p w14:paraId="2C4AE141" w14:textId="17E39B6C" w:rsidR="007F0B96" w:rsidRPr="00696F63" w:rsidRDefault="007F0B96" w:rsidP="007F0B96">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EC4FD3" w:rsidRPr="00696F63">
        <w:rPr>
          <w:rFonts w:ascii="Times New Roman" w:eastAsia="新細明體" w:hAnsi="Times New Roman"/>
          <w:b/>
          <w:bCs/>
          <w:szCs w:val="20"/>
          <w:u w:val="single"/>
          <w:lang w:eastAsia="zh-TW"/>
        </w:rPr>
        <w:t>2</w:t>
      </w:r>
      <w:r w:rsidRPr="00696F63">
        <w:rPr>
          <w:rFonts w:ascii="Times New Roman" w:eastAsia="新細明體" w:hAnsi="Times New Roman"/>
          <w:b/>
          <w:bCs/>
          <w:szCs w:val="20"/>
          <w:lang w:eastAsia="zh-TW"/>
        </w:rPr>
        <w:t xml:space="preserve">: </w:t>
      </w:r>
      <w:r w:rsidR="005643AB" w:rsidRPr="00696F63">
        <w:rPr>
          <w:rFonts w:ascii="Times New Roman" w:eastAsia="新細明體" w:hAnsi="Times New Roman"/>
          <w:b/>
          <w:bCs/>
          <w:szCs w:val="20"/>
          <w:lang w:eastAsia="zh-TW"/>
        </w:rPr>
        <w:t>For a given duplex mode (</w:t>
      </w:r>
      <w:proofErr w:type="gramStart"/>
      <w:r w:rsidR="005643AB" w:rsidRPr="00696F63">
        <w:rPr>
          <w:rFonts w:ascii="Times New Roman" w:eastAsia="新細明體" w:hAnsi="Times New Roman"/>
          <w:b/>
          <w:bCs/>
          <w:szCs w:val="20"/>
          <w:lang w:eastAsia="zh-TW"/>
        </w:rPr>
        <w:t>e.g.</w:t>
      </w:r>
      <w:proofErr w:type="gramEnd"/>
      <w:r w:rsidR="005643AB" w:rsidRPr="00696F63">
        <w:rPr>
          <w:rFonts w:ascii="Times New Roman" w:eastAsia="新細明體" w:hAnsi="Times New Roman"/>
          <w:b/>
          <w:bCs/>
          <w:szCs w:val="20"/>
          <w:lang w:eastAsia="zh-TW"/>
        </w:rPr>
        <w:t xml:space="preserve"> FDD, TDD), </w:t>
      </w:r>
      <w:r w:rsidR="00D833A7" w:rsidRPr="00696F63">
        <w:rPr>
          <w:rFonts w:ascii="Times New Roman" w:eastAsia="新細明體" w:hAnsi="Times New Roman"/>
          <w:b/>
          <w:bCs/>
          <w:szCs w:val="20"/>
          <w:lang w:eastAsia="zh-TW"/>
        </w:rPr>
        <w:t xml:space="preserve">strive for </w:t>
      </w:r>
      <w:r w:rsidR="00870026" w:rsidRPr="00696F63">
        <w:rPr>
          <w:rFonts w:ascii="Times New Roman" w:eastAsia="新細明體" w:hAnsi="Times New Roman"/>
          <w:b/>
          <w:bCs/>
          <w:szCs w:val="20"/>
          <w:lang w:eastAsia="zh-TW"/>
        </w:rPr>
        <w:t xml:space="preserve">single max CBW at least </w:t>
      </w:r>
      <w:r w:rsidR="008A7F92" w:rsidRPr="00696F63">
        <w:rPr>
          <w:rFonts w:ascii="Times New Roman" w:eastAsia="新細明體" w:hAnsi="Times New Roman"/>
          <w:b/>
          <w:bCs/>
          <w:szCs w:val="20"/>
          <w:lang w:eastAsia="zh-TW"/>
        </w:rPr>
        <w:t>for ~</w:t>
      </w:r>
      <w:r w:rsidR="0056287A" w:rsidRPr="00696F63">
        <w:rPr>
          <w:rFonts w:ascii="Times New Roman" w:eastAsia="新細明體" w:hAnsi="Times New Roman"/>
          <w:b/>
          <w:bCs/>
          <w:szCs w:val="20"/>
          <w:lang w:eastAsia="zh-TW"/>
        </w:rPr>
        <w:t>1</w:t>
      </w:r>
      <w:r w:rsidR="008A7F92" w:rsidRPr="00696F63">
        <w:rPr>
          <w:rFonts w:ascii="Times New Roman" w:eastAsia="新細明體" w:hAnsi="Times New Roman"/>
          <w:b/>
          <w:bCs/>
          <w:szCs w:val="20"/>
          <w:lang w:eastAsia="zh-TW"/>
        </w:rPr>
        <w:t>GHz-</w:t>
      </w:r>
      <w:r w:rsidR="00870026" w:rsidRPr="00696F63">
        <w:rPr>
          <w:rFonts w:ascii="Times New Roman" w:eastAsia="新細明體" w:hAnsi="Times New Roman"/>
          <w:b/>
          <w:bCs/>
          <w:szCs w:val="20"/>
          <w:lang w:eastAsia="zh-TW"/>
        </w:rPr>
        <w:t>10GHz</w:t>
      </w:r>
      <w:r w:rsidR="00815C3A" w:rsidRPr="00696F63">
        <w:rPr>
          <w:rFonts w:ascii="Times New Roman" w:eastAsia="新細明體" w:hAnsi="Times New Roman"/>
          <w:b/>
          <w:bCs/>
          <w:szCs w:val="20"/>
          <w:lang w:eastAsia="zh-TW"/>
        </w:rPr>
        <w:t xml:space="preserve">, </w:t>
      </w:r>
      <w:r w:rsidRPr="00696F63">
        <w:rPr>
          <w:rFonts w:ascii="Times New Roman" w:eastAsia="新細明體" w:hAnsi="Times New Roman"/>
          <w:b/>
          <w:bCs/>
          <w:szCs w:val="20"/>
          <w:lang w:eastAsia="zh-TW"/>
        </w:rPr>
        <w:t>as shown in Figure 1.</w:t>
      </w:r>
      <w:r w:rsidR="00E97597">
        <w:rPr>
          <w:rFonts w:ascii="Times New Roman" w:eastAsia="新細明體" w:hAnsi="Times New Roman" w:hint="eastAsia"/>
          <w:b/>
          <w:bCs/>
          <w:szCs w:val="20"/>
          <w:lang w:eastAsia="zh-TW"/>
        </w:rPr>
        <w:t xml:space="preserve"> Fo</w:t>
      </w:r>
      <w:r w:rsidR="00E97597">
        <w:rPr>
          <w:rFonts w:ascii="Times New Roman" w:eastAsia="新細明體" w:hAnsi="Times New Roman"/>
          <w:b/>
          <w:bCs/>
          <w:szCs w:val="20"/>
          <w:lang w:eastAsia="zh-TW"/>
        </w:rPr>
        <w:t>r around 7GHz, adopt maximum UE CBW to be 200M</w:t>
      </w:r>
      <w:r w:rsidR="00E97597">
        <w:rPr>
          <w:rFonts w:ascii="Times New Roman" w:eastAsia="新細明體" w:hAnsi="Times New Roman" w:hint="eastAsia"/>
          <w:b/>
          <w:bCs/>
          <w:szCs w:val="20"/>
          <w:lang w:eastAsia="zh-TW"/>
        </w:rPr>
        <w:t>Hz</w:t>
      </w:r>
      <w:r w:rsidR="00E97597">
        <w:rPr>
          <w:rFonts w:ascii="Times New Roman" w:eastAsia="新細明體" w:hAnsi="Times New Roman"/>
          <w:b/>
          <w:bCs/>
          <w:szCs w:val="20"/>
          <w:lang w:eastAsia="zh-TW"/>
        </w:rPr>
        <w:t>.</w:t>
      </w:r>
    </w:p>
    <w:p w14:paraId="5F6134C6" w14:textId="77777777" w:rsidR="00D52184" w:rsidRPr="00696F63" w:rsidRDefault="00D52184" w:rsidP="00E02D48">
      <w:pPr>
        <w:rPr>
          <w:rFonts w:ascii="Times New Roman" w:eastAsia="新細明體" w:hAnsi="Times New Roman"/>
          <w:szCs w:val="20"/>
          <w:lang w:eastAsia="zh-TW"/>
        </w:rPr>
      </w:pPr>
    </w:p>
    <w:p w14:paraId="2DCEFE6C" w14:textId="7BA7CB84" w:rsidR="007F0B96" w:rsidRPr="00696F63" w:rsidRDefault="007F0B96" w:rsidP="007F0B96">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EC4FD3" w:rsidRPr="00696F63">
        <w:rPr>
          <w:rFonts w:ascii="Times New Roman" w:eastAsia="新細明體" w:hAnsi="Times New Roman"/>
          <w:b/>
          <w:bCs/>
          <w:szCs w:val="20"/>
          <w:u w:val="single"/>
          <w:lang w:eastAsia="zh-TW"/>
        </w:rPr>
        <w:t>3</w:t>
      </w:r>
      <w:r w:rsidRPr="00696F63">
        <w:rPr>
          <w:rFonts w:ascii="Times New Roman" w:eastAsia="新細明體" w:hAnsi="Times New Roman"/>
          <w:b/>
          <w:bCs/>
          <w:szCs w:val="20"/>
          <w:lang w:eastAsia="zh-TW"/>
        </w:rPr>
        <w:t xml:space="preserve">: </w:t>
      </w:r>
      <w:r w:rsidR="006654C2" w:rsidRPr="00696F63">
        <w:rPr>
          <w:rFonts w:ascii="Times New Roman" w:eastAsia="新細明體" w:hAnsi="Times New Roman"/>
          <w:b/>
          <w:bCs/>
          <w:szCs w:val="20"/>
          <w:lang w:eastAsia="zh-TW"/>
        </w:rPr>
        <w:t>Max FFT size is restricted to 8192 points for 6G</w:t>
      </w:r>
      <w:r w:rsidRPr="00696F63">
        <w:rPr>
          <w:rFonts w:ascii="Times New Roman" w:eastAsia="新細明體" w:hAnsi="Times New Roman"/>
          <w:b/>
          <w:bCs/>
          <w:szCs w:val="20"/>
          <w:lang w:eastAsia="zh-TW"/>
        </w:rPr>
        <w:t>, as shown in Figure 1.</w:t>
      </w:r>
    </w:p>
    <w:p w14:paraId="27C7945E" w14:textId="77777777" w:rsidR="00D52184" w:rsidRPr="00696F63" w:rsidRDefault="00D52184" w:rsidP="00E02D48">
      <w:pPr>
        <w:rPr>
          <w:rFonts w:ascii="Times New Roman" w:eastAsia="新細明體" w:hAnsi="Times New Roman"/>
          <w:szCs w:val="20"/>
          <w:lang w:eastAsia="zh-TW"/>
        </w:rPr>
      </w:pPr>
    </w:p>
    <w:p w14:paraId="0CA51ECB" w14:textId="1BBD70FB" w:rsidR="005F4237" w:rsidRPr="00696F63" w:rsidRDefault="0056287A" w:rsidP="005F4237">
      <w:pP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372E8007" wp14:editId="77D1182F">
            <wp:extent cx="5939790" cy="2727325"/>
            <wp:effectExtent l="0" t="0" r="381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2727325"/>
                    </a:xfrm>
                    <a:prstGeom prst="rect">
                      <a:avLst/>
                    </a:prstGeom>
                    <a:noFill/>
                    <a:ln>
                      <a:noFill/>
                    </a:ln>
                  </pic:spPr>
                </pic:pic>
              </a:graphicData>
            </a:graphic>
          </wp:inline>
        </w:drawing>
      </w:r>
    </w:p>
    <w:p w14:paraId="5DE15C17" w14:textId="469C6FB2" w:rsidR="005F4237" w:rsidRPr="00696F63" w:rsidRDefault="005F4237" w:rsidP="005F4237">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Figure 1. Table of suggested SCS, CBW and FFT Size for 6G</w:t>
      </w:r>
    </w:p>
    <w:p w14:paraId="67CEC02F" w14:textId="77777777" w:rsidR="000705B0" w:rsidRPr="00696F63" w:rsidRDefault="000705B0" w:rsidP="00C4659F">
      <w:pPr>
        <w:rPr>
          <w:rFonts w:ascii="Times New Roman" w:eastAsia="新細明體" w:hAnsi="Times New Roman"/>
          <w:b/>
          <w:bCs/>
          <w:szCs w:val="20"/>
          <w:lang w:eastAsia="zh-TW"/>
        </w:rPr>
      </w:pPr>
      <w:bookmarkStart w:id="8" w:name="OLE_LINK146"/>
      <w:bookmarkEnd w:id="3"/>
      <w:bookmarkEnd w:id="7"/>
    </w:p>
    <w:p w14:paraId="32738E9B" w14:textId="44E2E373" w:rsidR="00C45400" w:rsidRPr="00696F63" w:rsidRDefault="00C45400" w:rsidP="00C45400">
      <w:pPr>
        <w:pStyle w:val="2"/>
        <w:rPr>
          <w:rFonts w:ascii="Arial" w:hAnsi="Arial" w:cs="Arial"/>
          <w:color w:val="auto"/>
        </w:rPr>
      </w:pPr>
      <w:r w:rsidRPr="00696F63">
        <w:rPr>
          <w:rFonts w:ascii="Arial" w:hAnsi="Arial" w:cs="Arial"/>
          <w:color w:val="auto"/>
        </w:rPr>
        <w:t>2.2 Simulation results of BLER versus SNR for different SCS</w:t>
      </w:r>
    </w:p>
    <w:p w14:paraId="7586DAFD" w14:textId="77777777" w:rsidR="00C45400" w:rsidRPr="00696F63" w:rsidRDefault="00C45400" w:rsidP="00C4659F">
      <w:pPr>
        <w:rPr>
          <w:rFonts w:ascii="Times New Roman" w:eastAsia="新細明體" w:hAnsi="Times New Roman"/>
          <w:b/>
          <w:bCs/>
          <w:szCs w:val="20"/>
          <w:lang w:eastAsia="zh-TW"/>
        </w:rPr>
      </w:pPr>
    </w:p>
    <w:p w14:paraId="0686FD37" w14:textId="1F04A441" w:rsidR="00C45400" w:rsidRPr="00696F63" w:rsidRDefault="00C45400" w:rsidP="00C4659F">
      <w:pPr>
        <w:rPr>
          <w:rFonts w:ascii="Times New Roman" w:eastAsia="新細明體" w:hAnsi="Times New Roman"/>
          <w:szCs w:val="20"/>
          <w:lang w:eastAsia="zh-TW"/>
        </w:rPr>
      </w:pPr>
      <w:r w:rsidRPr="00696F63">
        <w:rPr>
          <w:rFonts w:ascii="Times New Roman" w:eastAsia="新細明體" w:hAnsi="Times New Roman"/>
          <w:szCs w:val="20"/>
          <w:lang w:eastAsia="zh-TW"/>
        </w:rPr>
        <w:t xml:space="preserve">In this subsection, we provide the simulation results of BLER versus SNR for different SCS. The </w:t>
      </w:r>
      <w:r w:rsidR="00464454" w:rsidRPr="00696F63">
        <w:rPr>
          <w:rFonts w:ascii="Times New Roman" w:eastAsia="新細明體" w:hAnsi="Times New Roman"/>
          <w:szCs w:val="20"/>
          <w:lang w:eastAsia="zh-TW"/>
        </w:rPr>
        <w:t>link</w:t>
      </w:r>
      <w:r w:rsidRPr="00696F63">
        <w:rPr>
          <w:rFonts w:ascii="Times New Roman" w:eastAsia="新細明體" w:hAnsi="Times New Roman"/>
          <w:szCs w:val="20"/>
          <w:lang w:eastAsia="zh-TW"/>
        </w:rPr>
        <w:t xml:space="preserve"> level simulation (</w:t>
      </w:r>
      <w:r w:rsidR="00464454" w:rsidRPr="00696F63">
        <w:rPr>
          <w:rFonts w:ascii="Times New Roman" w:eastAsia="新細明體" w:hAnsi="Times New Roman"/>
          <w:szCs w:val="20"/>
          <w:lang w:eastAsia="zh-TW"/>
        </w:rPr>
        <w:t>L</w:t>
      </w:r>
      <w:r w:rsidRPr="00696F63">
        <w:rPr>
          <w:rFonts w:ascii="Times New Roman" w:eastAsia="新細明體" w:hAnsi="Times New Roman"/>
          <w:szCs w:val="20"/>
          <w:lang w:eastAsia="zh-TW"/>
        </w:rPr>
        <w:t>LS) configuration is provided in Figure 2</w:t>
      </w:r>
      <w:r w:rsidR="001A6DA7" w:rsidRPr="00696F63">
        <w:rPr>
          <w:rFonts w:ascii="Times New Roman" w:eastAsia="新細明體" w:hAnsi="Times New Roman"/>
          <w:szCs w:val="20"/>
          <w:lang w:eastAsia="zh-TW"/>
        </w:rPr>
        <w:t xml:space="preserve"> (6 layers) and Figure 3 (8 layers)</w:t>
      </w:r>
      <w:r w:rsidRPr="00696F63">
        <w:rPr>
          <w:rFonts w:ascii="Times New Roman" w:eastAsia="新細明體" w:hAnsi="Times New Roman"/>
          <w:szCs w:val="20"/>
          <w:lang w:eastAsia="zh-TW"/>
        </w:rPr>
        <w:t xml:space="preserve">. The simulation results are provided in Figure </w:t>
      </w:r>
      <w:r w:rsidR="001A6DA7" w:rsidRPr="00696F63">
        <w:rPr>
          <w:rFonts w:ascii="Times New Roman" w:eastAsia="新細明體" w:hAnsi="Times New Roman"/>
          <w:szCs w:val="20"/>
          <w:lang w:eastAsia="zh-TW"/>
        </w:rPr>
        <w:t>4</w:t>
      </w:r>
      <w:r w:rsidRPr="00696F63">
        <w:rPr>
          <w:rFonts w:ascii="Times New Roman" w:eastAsia="新細明體" w:hAnsi="Times New Roman"/>
          <w:szCs w:val="20"/>
          <w:lang w:eastAsia="zh-TW"/>
        </w:rPr>
        <w:t xml:space="preserve"> to </w:t>
      </w:r>
      <w:r w:rsidR="001A6DA7" w:rsidRPr="00696F63">
        <w:rPr>
          <w:rFonts w:ascii="Times New Roman" w:eastAsia="新細明體" w:hAnsi="Times New Roman"/>
          <w:szCs w:val="20"/>
          <w:lang w:eastAsia="zh-TW"/>
        </w:rPr>
        <w:t>6 (6 layers) and 7 to 9 (8 layers)</w:t>
      </w:r>
      <w:r w:rsidRPr="00696F63">
        <w:rPr>
          <w:rFonts w:ascii="Times New Roman" w:eastAsia="新細明體" w:hAnsi="Times New Roman"/>
          <w:szCs w:val="20"/>
          <w:lang w:eastAsia="zh-TW"/>
        </w:rPr>
        <w:t xml:space="preserve">, and the corresponding observations are drawn below. </w:t>
      </w:r>
    </w:p>
    <w:p w14:paraId="55A5EF18" w14:textId="77777777" w:rsidR="00C45400" w:rsidRPr="00696F63" w:rsidRDefault="00C45400" w:rsidP="00C4659F">
      <w:pPr>
        <w:rPr>
          <w:rFonts w:ascii="Times New Roman" w:eastAsia="新細明體" w:hAnsi="Times New Roman"/>
          <w:b/>
          <w:bCs/>
          <w:szCs w:val="20"/>
          <w:lang w:eastAsia="zh-TW"/>
        </w:rPr>
      </w:pPr>
    </w:p>
    <w:p w14:paraId="71FA19AC" w14:textId="55478712" w:rsidR="00C45400" w:rsidRPr="00696F63" w:rsidRDefault="004A0FA5" w:rsidP="00C45400">
      <w:pPr>
        <w:jc w:val="center"/>
        <w:rPr>
          <w:rFonts w:ascii="Times New Roman" w:eastAsia="新細明體" w:hAnsi="Times New Roman"/>
          <w:b/>
          <w:bCs/>
          <w:szCs w:val="20"/>
          <w:lang w:eastAsia="zh-TW"/>
        </w:rPr>
      </w:pPr>
      <w:r>
        <w:rPr>
          <w:rFonts w:ascii="Times New Roman" w:eastAsia="新細明體" w:hAnsi="Times New Roman"/>
          <w:b/>
          <w:bCs/>
          <w:noProof/>
          <w:szCs w:val="20"/>
          <w:lang w:eastAsia="zh-TW"/>
        </w:rPr>
        <w:lastRenderedPageBreak/>
        <w:drawing>
          <wp:inline distT="0" distB="0" distL="0" distR="0" wp14:anchorId="5C68848E" wp14:editId="0A8655BA">
            <wp:extent cx="5239955" cy="2585515"/>
            <wp:effectExtent l="0" t="0" r="0" b="571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7061" cy="2593955"/>
                    </a:xfrm>
                    <a:prstGeom prst="rect">
                      <a:avLst/>
                    </a:prstGeom>
                    <a:noFill/>
                    <a:ln>
                      <a:noFill/>
                    </a:ln>
                  </pic:spPr>
                </pic:pic>
              </a:graphicData>
            </a:graphic>
          </wp:inline>
        </w:drawing>
      </w:r>
    </w:p>
    <w:p w14:paraId="4C8C3D5E" w14:textId="6FECFEAD" w:rsidR="00C45400" w:rsidRPr="00696F63" w:rsidRDefault="00C45400" w:rsidP="00B747BB">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 xml:space="preserve">Figure 2. </w:t>
      </w:r>
      <w:r w:rsidR="00854E64" w:rsidRPr="00696F63">
        <w:rPr>
          <w:rFonts w:ascii="Times New Roman" w:eastAsia="新細明體" w:hAnsi="Times New Roman"/>
          <w:b/>
          <w:bCs/>
          <w:szCs w:val="20"/>
          <w:lang w:eastAsia="zh-TW"/>
        </w:rPr>
        <w:t>L</w:t>
      </w:r>
      <w:r w:rsidR="00464454" w:rsidRPr="00696F63">
        <w:rPr>
          <w:rFonts w:ascii="Times New Roman" w:eastAsia="新細明體" w:hAnsi="Times New Roman"/>
          <w:b/>
          <w:bCs/>
          <w:szCs w:val="20"/>
          <w:lang w:eastAsia="zh-TW"/>
        </w:rPr>
        <w:t>ink</w:t>
      </w:r>
      <w:r w:rsidRPr="00696F63">
        <w:rPr>
          <w:rFonts w:ascii="Times New Roman" w:eastAsia="新細明體" w:hAnsi="Times New Roman"/>
          <w:b/>
          <w:bCs/>
          <w:szCs w:val="20"/>
          <w:lang w:eastAsia="zh-TW"/>
        </w:rPr>
        <w:t xml:space="preserve"> level </w:t>
      </w:r>
      <w:r w:rsidR="00854E64" w:rsidRPr="00696F63">
        <w:rPr>
          <w:rFonts w:ascii="Times New Roman" w:eastAsia="新細明體" w:hAnsi="Times New Roman"/>
          <w:b/>
          <w:bCs/>
          <w:szCs w:val="20"/>
          <w:lang w:eastAsia="zh-TW"/>
        </w:rPr>
        <w:t>evaluation</w:t>
      </w:r>
      <w:r w:rsidRPr="00696F63">
        <w:rPr>
          <w:rFonts w:ascii="Times New Roman" w:eastAsia="新細明體" w:hAnsi="Times New Roman"/>
          <w:b/>
          <w:bCs/>
          <w:szCs w:val="20"/>
          <w:lang w:eastAsia="zh-TW"/>
        </w:rPr>
        <w:t xml:space="preserve"> </w:t>
      </w:r>
      <w:r w:rsidR="00854E64" w:rsidRPr="00696F63">
        <w:rPr>
          <w:rFonts w:ascii="Times New Roman" w:eastAsia="新細明體" w:hAnsi="Times New Roman"/>
          <w:b/>
          <w:bCs/>
          <w:szCs w:val="20"/>
          <w:lang w:eastAsia="zh-TW"/>
        </w:rPr>
        <w:t>assumption</w:t>
      </w:r>
      <w:r w:rsidR="001A6DA7" w:rsidRPr="00696F63">
        <w:rPr>
          <w:rFonts w:ascii="Times New Roman" w:eastAsia="新細明體" w:hAnsi="Times New Roman"/>
          <w:b/>
          <w:bCs/>
          <w:szCs w:val="20"/>
          <w:lang w:eastAsia="zh-TW"/>
        </w:rPr>
        <w:t xml:space="preserve"> for 6 layers</w:t>
      </w:r>
      <w:r w:rsidR="00464454" w:rsidRPr="00696F63">
        <w:rPr>
          <w:rFonts w:ascii="Times New Roman" w:eastAsia="新細明體" w:hAnsi="Times New Roman"/>
          <w:b/>
          <w:bCs/>
          <w:szCs w:val="20"/>
          <w:lang w:eastAsia="zh-TW"/>
        </w:rPr>
        <w:t xml:space="preserve"> (Tx </w:t>
      </w:r>
      <w:r w:rsidR="00C66390" w:rsidRPr="00696F63">
        <w:rPr>
          <w:rFonts w:ascii="Times New Roman" w:eastAsia="新細明體" w:hAnsi="Times New Roman"/>
          <w:b/>
          <w:bCs/>
          <w:szCs w:val="20"/>
          <w:lang w:eastAsia="zh-TW"/>
        </w:rPr>
        <w:t>EVM</w:t>
      </w:r>
      <w:r w:rsidR="00B747BB" w:rsidRPr="00696F63">
        <w:rPr>
          <w:rFonts w:ascii="Times New Roman" w:eastAsia="新細明體" w:hAnsi="Times New Roman"/>
          <w:b/>
          <w:bCs/>
          <w:szCs w:val="20"/>
          <w:lang w:eastAsia="zh-TW"/>
        </w:rPr>
        <w:t xml:space="preserve"> </w:t>
      </w:r>
      <w:r w:rsidR="00464454" w:rsidRPr="00696F63">
        <w:rPr>
          <w:rFonts w:ascii="Times New Roman" w:eastAsia="新細明體" w:hAnsi="Times New Roman"/>
          <w:b/>
          <w:bCs/>
          <w:szCs w:val="20"/>
          <w:lang w:eastAsia="zh-TW"/>
        </w:rPr>
        <w:t>is not considered</w:t>
      </w:r>
      <w:r w:rsidR="003A174E" w:rsidRPr="00696F63">
        <w:rPr>
          <w:rFonts w:ascii="Times New Roman" w:eastAsia="新細明體" w:hAnsi="Times New Roman"/>
          <w:b/>
          <w:bCs/>
          <w:szCs w:val="20"/>
          <w:lang w:eastAsia="zh-TW"/>
        </w:rPr>
        <w:t>)</w:t>
      </w:r>
    </w:p>
    <w:p w14:paraId="2DC19E81" w14:textId="5A4C7250" w:rsidR="00C45400" w:rsidRPr="00696F63" w:rsidRDefault="00C45400" w:rsidP="00C45400">
      <w:pPr>
        <w:jc w:val="center"/>
        <w:rPr>
          <w:rFonts w:ascii="Times New Roman" w:eastAsia="新細明體" w:hAnsi="Times New Roman"/>
          <w:b/>
          <w:bCs/>
          <w:szCs w:val="20"/>
          <w:lang w:eastAsia="zh-TW"/>
        </w:rPr>
      </w:pPr>
    </w:p>
    <w:p w14:paraId="38437A38" w14:textId="4C17648B" w:rsidR="001A6DA7" w:rsidRPr="00696F63" w:rsidRDefault="00C343FF" w:rsidP="00C45400">
      <w:pPr>
        <w:jc w:val="center"/>
        <w:rPr>
          <w:rFonts w:ascii="Times New Roman" w:eastAsia="新細明體" w:hAnsi="Times New Roman"/>
          <w:b/>
          <w:bCs/>
          <w:szCs w:val="20"/>
          <w:lang w:eastAsia="zh-TW"/>
        </w:rPr>
      </w:pPr>
      <w:r>
        <w:rPr>
          <w:rFonts w:ascii="Times New Roman" w:eastAsia="新細明體" w:hAnsi="Times New Roman"/>
          <w:b/>
          <w:bCs/>
          <w:noProof/>
          <w:szCs w:val="20"/>
          <w:lang w:eastAsia="zh-TW"/>
        </w:rPr>
        <w:drawing>
          <wp:inline distT="0" distB="0" distL="0" distR="0" wp14:anchorId="36ACB168" wp14:editId="76DE9768">
            <wp:extent cx="4838474" cy="2373474"/>
            <wp:effectExtent l="0" t="0" r="635" b="825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7321" cy="2377814"/>
                    </a:xfrm>
                    <a:prstGeom prst="rect">
                      <a:avLst/>
                    </a:prstGeom>
                    <a:noFill/>
                    <a:ln>
                      <a:noFill/>
                    </a:ln>
                  </pic:spPr>
                </pic:pic>
              </a:graphicData>
            </a:graphic>
          </wp:inline>
        </w:drawing>
      </w:r>
    </w:p>
    <w:p w14:paraId="044321A1" w14:textId="0103B253" w:rsidR="001A6DA7"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Figure 3. Link level evaluation assumption for 8 layers (Tx EVM is not considered)</w:t>
      </w:r>
    </w:p>
    <w:p w14:paraId="03290BDE" w14:textId="77777777" w:rsidR="001A6DA7" w:rsidRPr="00696F63" w:rsidRDefault="001A6DA7" w:rsidP="00C45400">
      <w:pPr>
        <w:jc w:val="center"/>
        <w:rPr>
          <w:rFonts w:ascii="Times New Roman" w:eastAsia="新細明體" w:hAnsi="Times New Roman"/>
          <w:b/>
          <w:bCs/>
          <w:szCs w:val="20"/>
          <w:lang w:eastAsia="zh-TW"/>
        </w:rPr>
      </w:pPr>
    </w:p>
    <w:p w14:paraId="416A1F6D" w14:textId="741799B6" w:rsidR="00CF417E" w:rsidRPr="00696F63" w:rsidRDefault="00CF417E" w:rsidP="00C343FF">
      <w:pPr>
        <w:rPr>
          <w:rFonts w:ascii="Times New Roman" w:eastAsia="新細明體" w:hAnsi="Times New Roman"/>
          <w:b/>
          <w:bCs/>
          <w:szCs w:val="20"/>
          <w:lang w:eastAsia="zh-TW"/>
        </w:rPr>
      </w:pPr>
    </w:p>
    <w:p w14:paraId="4F821A82" w14:textId="286E7008" w:rsidR="00494C21" w:rsidRPr="00696F63" w:rsidRDefault="001A6DA7" w:rsidP="00703D4C">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2FCCB15C" wp14:editId="507A5AC6">
            <wp:extent cx="5698885" cy="2165394"/>
            <wp:effectExtent l="0" t="0" r="0" b="6350"/>
            <wp:docPr id="10" name="圖片 9">
              <a:extLst xmlns:a="http://schemas.openxmlformats.org/drawingml/2006/main">
                <a:ext uri="{FF2B5EF4-FFF2-40B4-BE49-F238E27FC236}">
                  <a16:creationId xmlns:a16="http://schemas.microsoft.com/office/drawing/2014/main" id="{435A0179-A0A2-2ACD-2995-F1D93939B4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435A0179-A0A2-2ACD-2995-F1D93939B426}"/>
                        </a:ext>
                      </a:extLst>
                    </pic:cNvPr>
                    <pic:cNvPicPr>
                      <a:picLocks noChangeAspect="1"/>
                    </pic:cNvPicPr>
                  </pic:nvPicPr>
                  <pic:blipFill>
                    <a:blip r:embed="rId14"/>
                    <a:stretch>
                      <a:fillRect/>
                    </a:stretch>
                  </pic:blipFill>
                  <pic:spPr>
                    <a:xfrm>
                      <a:off x="0" y="0"/>
                      <a:ext cx="5710996" cy="2169996"/>
                    </a:xfrm>
                    <a:prstGeom prst="rect">
                      <a:avLst/>
                    </a:prstGeom>
                  </pic:spPr>
                </pic:pic>
              </a:graphicData>
            </a:graphic>
          </wp:inline>
        </w:drawing>
      </w:r>
    </w:p>
    <w:p w14:paraId="07B74F37" w14:textId="4870D972" w:rsidR="00494C21" w:rsidRPr="00696F63" w:rsidRDefault="00494C21" w:rsidP="00C343FF">
      <w:pPr>
        <w:rPr>
          <w:rFonts w:ascii="Times New Roman" w:eastAsia="新細明體" w:hAnsi="Times New Roman"/>
          <w:b/>
          <w:bCs/>
          <w:szCs w:val="20"/>
          <w:lang w:eastAsia="zh-TW"/>
        </w:rPr>
      </w:pPr>
    </w:p>
    <w:p w14:paraId="06C61BC4" w14:textId="3DB096A3" w:rsidR="00CF417E" w:rsidRPr="00696F63" w:rsidRDefault="001A6DA7" w:rsidP="00CF417E">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lastRenderedPageBreak/>
        <w:drawing>
          <wp:inline distT="0" distB="0" distL="0" distR="0" wp14:anchorId="3A8FB1B9" wp14:editId="35A1DD20">
            <wp:extent cx="5546089" cy="2153821"/>
            <wp:effectExtent l="0" t="0" r="0" b="0"/>
            <wp:docPr id="31" name="圖片 31">
              <a:extLst xmlns:a="http://schemas.openxmlformats.org/drawingml/2006/main">
                <a:ext uri="{FF2B5EF4-FFF2-40B4-BE49-F238E27FC236}">
                  <a16:creationId xmlns:a16="http://schemas.microsoft.com/office/drawing/2014/main" id="{4A3D0E01-7D0C-82B5-6730-7DA60956DC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4A3D0E01-7D0C-82B5-6730-7DA60956DCF3}"/>
                        </a:ext>
                      </a:extLst>
                    </pic:cNvPr>
                    <pic:cNvPicPr>
                      <a:picLocks noChangeAspect="1"/>
                    </pic:cNvPicPr>
                  </pic:nvPicPr>
                  <pic:blipFill>
                    <a:blip r:embed="rId15"/>
                    <a:stretch>
                      <a:fillRect/>
                    </a:stretch>
                  </pic:blipFill>
                  <pic:spPr>
                    <a:xfrm>
                      <a:off x="0" y="0"/>
                      <a:ext cx="5546089" cy="2153821"/>
                    </a:xfrm>
                    <a:prstGeom prst="rect">
                      <a:avLst/>
                    </a:prstGeom>
                  </pic:spPr>
                </pic:pic>
              </a:graphicData>
            </a:graphic>
          </wp:inline>
        </w:drawing>
      </w:r>
    </w:p>
    <w:p w14:paraId="20A89EC0" w14:textId="2C52CDD8" w:rsidR="00494C21" w:rsidRPr="00696F63" w:rsidRDefault="00494C21" w:rsidP="00C343FF">
      <w:pPr>
        <w:rPr>
          <w:rFonts w:ascii="Times New Roman" w:eastAsia="新細明體" w:hAnsi="Times New Roman"/>
          <w:b/>
          <w:bCs/>
          <w:szCs w:val="20"/>
          <w:lang w:eastAsia="zh-TW"/>
        </w:rPr>
      </w:pPr>
    </w:p>
    <w:p w14:paraId="57093901" w14:textId="707FDA0B" w:rsidR="00494C21"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73DCCDC8" wp14:editId="78CF602C">
            <wp:extent cx="5740400" cy="2215270"/>
            <wp:effectExtent l="0" t="0" r="0" b="0"/>
            <wp:docPr id="33" name="圖片 33">
              <a:extLst xmlns:a="http://schemas.openxmlformats.org/drawingml/2006/main">
                <a:ext uri="{FF2B5EF4-FFF2-40B4-BE49-F238E27FC236}">
                  <a16:creationId xmlns:a16="http://schemas.microsoft.com/office/drawing/2014/main" id="{A6E4BE32-343B-3FD4-B302-21304307F7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A6E4BE32-343B-3FD4-B302-21304307F749}"/>
                        </a:ext>
                      </a:extLst>
                    </pic:cNvPr>
                    <pic:cNvPicPr>
                      <a:picLocks noChangeAspect="1"/>
                    </pic:cNvPicPr>
                  </pic:nvPicPr>
                  <pic:blipFill>
                    <a:blip r:embed="rId16"/>
                    <a:stretch>
                      <a:fillRect/>
                    </a:stretch>
                  </pic:blipFill>
                  <pic:spPr>
                    <a:xfrm>
                      <a:off x="0" y="0"/>
                      <a:ext cx="5740400" cy="2215270"/>
                    </a:xfrm>
                    <a:prstGeom prst="rect">
                      <a:avLst/>
                    </a:prstGeom>
                  </pic:spPr>
                </pic:pic>
              </a:graphicData>
            </a:graphic>
          </wp:inline>
        </w:drawing>
      </w:r>
    </w:p>
    <w:p w14:paraId="33FF4B4E" w14:textId="7FAFB2BA" w:rsidR="001A6DA7" w:rsidRPr="00696F63" w:rsidRDefault="001A6DA7" w:rsidP="00C343FF">
      <w:pPr>
        <w:rPr>
          <w:rFonts w:ascii="Times New Roman" w:eastAsia="新細明體" w:hAnsi="Times New Roman"/>
          <w:b/>
          <w:bCs/>
          <w:szCs w:val="20"/>
          <w:lang w:eastAsia="zh-TW"/>
        </w:rPr>
      </w:pPr>
    </w:p>
    <w:p w14:paraId="0135C3F5" w14:textId="2255AC8D" w:rsidR="001A6DA7"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4BC97005" wp14:editId="09DB3EA5">
            <wp:extent cx="5632450" cy="2158271"/>
            <wp:effectExtent l="0" t="0" r="6350" b="0"/>
            <wp:docPr id="35" name="圖片 35">
              <a:extLst xmlns:a="http://schemas.openxmlformats.org/drawingml/2006/main">
                <a:ext uri="{FF2B5EF4-FFF2-40B4-BE49-F238E27FC236}">
                  <a16:creationId xmlns:a16="http://schemas.microsoft.com/office/drawing/2014/main" id="{77C4865C-99C9-4FED-4663-AA78C6C149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77C4865C-99C9-4FED-4663-AA78C6C14968}"/>
                        </a:ext>
                      </a:extLst>
                    </pic:cNvPr>
                    <pic:cNvPicPr>
                      <a:picLocks noChangeAspect="1"/>
                    </pic:cNvPicPr>
                  </pic:nvPicPr>
                  <pic:blipFill>
                    <a:blip r:embed="rId17"/>
                    <a:stretch>
                      <a:fillRect/>
                    </a:stretch>
                  </pic:blipFill>
                  <pic:spPr>
                    <a:xfrm>
                      <a:off x="0" y="0"/>
                      <a:ext cx="5632450" cy="2158271"/>
                    </a:xfrm>
                    <a:prstGeom prst="rect">
                      <a:avLst/>
                    </a:prstGeom>
                  </pic:spPr>
                </pic:pic>
              </a:graphicData>
            </a:graphic>
          </wp:inline>
        </w:drawing>
      </w:r>
    </w:p>
    <w:p w14:paraId="271C354F" w14:textId="50D8F2E6" w:rsidR="00C45400" w:rsidRPr="00696F63" w:rsidRDefault="00C45400" w:rsidP="00C45400">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 xml:space="preserve">Figure </w:t>
      </w:r>
      <w:r w:rsidR="001A6DA7" w:rsidRPr="00696F63">
        <w:rPr>
          <w:rFonts w:ascii="Times New Roman" w:eastAsia="新細明體" w:hAnsi="Times New Roman"/>
          <w:b/>
          <w:bCs/>
          <w:szCs w:val="20"/>
          <w:lang w:eastAsia="zh-TW"/>
        </w:rPr>
        <w:t>4</w:t>
      </w:r>
      <w:r w:rsidRPr="00696F63">
        <w:rPr>
          <w:rFonts w:ascii="Times New Roman" w:eastAsia="新細明體" w:hAnsi="Times New Roman"/>
          <w:b/>
          <w:bCs/>
          <w:szCs w:val="20"/>
          <w:lang w:eastAsia="zh-TW"/>
        </w:rPr>
        <w:t>. BLER vs. SNR for 30ns delay spread</w:t>
      </w:r>
      <w:r w:rsidR="00CF417E" w:rsidRPr="00696F63">
        <w:rPr>
          <w:rFonts w:ascii="Times New Roman" w:eastAsia="新細明體" w:hAnsi="Times New Roman"/>
          <w:b/>
          <w:bCs/>
          <w:szCs w:val="20"/>
          <w:lang w:eastAsia="zh-TW"/>
        </w:rPr>
        <w:t xml:space="preserve"> and</w:t>
      </w:r>
      <w:r w:rsidRPr="00696F63">
        <w:rPr>
          <w:rFonts w:ascii="Times New Roman" w:eastAsia="新細明體" w:hAnsi="Times New Roman"/>
          <w:b/>
          <w:bCs/>
          <w:szCs w:val="20"/>
          <w:lang w:eastAsia="zh-TW"/>
        </w:rPr>
        <w:t xml:space="preserve"> 3</w:t>
      </w:r>
      <w:r w:rsidR="00494C21" w:rsidRPr="00696F63">
        <w:rPr>
          <w:rFonts w:ascii="Times New Roman" w:eastAsia="新細明體" w:hAnsi="Times New Roman"/>
          <w:b/>
          <w:bCs/>
          <w:szCs w:val="20"/>
          <w:lang w:eastAsia="zh-TW"/>
        </w:rPr>
        <w:t>/</w:t>
      </w:r>
      <w:r w:rsidR="001A6DA7" w:rsidRPr="00696F63">
        <w:rPr>
          <w:rFonts w:ascii="Times New Roman" w:eastAsia="新細明體" w:hAnsi="Times New Roman"/>
          <w:b/>
          <w:bCs/>
          <w:szCs w:val="20"/>
          <w:lang w:eastAsia="zh-TW"/>
        </w:rPr>
        <w:t>30/</w:t>
      </w:r>
      <w:r w:rsidR="00494C21" w:rsidRPr="00696F63">
        <w:rPr>
          <w:rFonts w:ascii="Times New Roman" w:eastAsia="新細明體" w:hAnsi="Times New Roman"/>
          <w:b/>
          <w:bCs/>
          <w:szCs w:val="20"/>
          <w:lang w:eastAsia="zh-TW"/>
        </w:rPr>
        <w:t>60/120</w:t>
      </w:r>
      <w:r w:rsidRPr="00696F63">
        <w:rPr>
          <w:rFonts w:ascii="Times New Roman" w:eastAsia="新細明體" w:hAnsi="Times New Roman"/>
          <w:b/>
          <w:bCs/>
          <w:szCs w:val="20"/>
          <w:lang w:eastAsia="zh-TW"/>
        </w:rPr>
        <w:t>km/hr UE speed</w:t>
      </w:r>
      <w:r w:rsidR="00CF417E" w:rsidRPr="00696F63">
        <w:rPr>
          <w:rFonts w:ascii="Times New Roman" w:eastAsia="新細明體" w:hAnsi="Times New Roman"/>
          <w:b/>
          <w:bCs/>
          <w:szCs w:val="20"/>
          <w:lang w:eastAsia="zh-TW"/>
        </w:rPr>
        <w:t xml:space="preserve"> in</w:t>
      </w:r>
      <w:r w:rsidRPr="00696F63">
        <w:rPr>
          <w:rFonts w:ascii="Times New Roman" w:eastAsia="新細明體" w:hAnsi="Times New Roman"/>
          <w:b/>
          <w:bCs/>
          <w:szCs w:val="20"/>
          <w:lang w:eastAsia="zh-TW"/>
        </w:rPr>
        <w:t xml:space="preserve"> 1</w:t>
      </w:r>
      <w:r w:rsidR="001A6DA7" w:rsidRPr="00696F63">
        <w:rPr>
          <w:rFonts w:ascii="Times New Roman" w:eastAsia="新細明體" w:hAnsi="Times New Roman"/>
          <w:b/>
          <w:bCs/>
          <w:szCs w:val="20"/>
          <w:lang w:eastAsia="zh-TW"/>
        </w:rPr>
        <w:t xml:space="preserve">5 </w:t>
      </w:r>
      <w:r w:rsidRPr="00696F63">
        <w:rPr>
          <w:rFonts w:ascii="Times New Roman" w:eastAsia="新細明體" w:hAnsi="Times New Roman"/>
          <w:b/>
          <w:bCs/>
          <w:szCs w:val="20"/>
          <w:lang w:eastAsia="zh-TW"/>
        </w:rPr>
        <w:t>GHz carrier frequency</w:t>
      </w:r>
      <w:r w:rsidR="001A6DA7" w:rsidRPr="00696F63">
        <w:rPr>
          <w:rFonts w:ascii="Times New Roman" w:eastAsia="新細明體" w:hAnsi="Times New Roman"/>
          <w:b/>
          <w:bCs/>
          <w:szCs w:val="20"/>
          <w:lang w:eastAsia="zh-TW"/>
        </w:rPr>
        <w:t xml:space="preserve"> and 6 </w:t>
      </w:r>
      <w:proofErr w:type="gramStart"/>
      <w:r w:rsidR="001A6DA7" w:rsidRPr="00696F63">
        <w:rPr>
          <w:rFonts w:ascii="Times New Roman" w:eastAsia="新細明體" w:hAnsi="Times New Roman"/>
          <w:b/>
          <w:bCs/>
          <w:szCs w:val="20"/>
          <w:lang w:eastAsia="zh-TW"/>
        </w:rPr>
        <w:t>layers</w:t>
      </w:r>
      <w:proofErr w:type="gramEnd"/>
    </w:p>
    <w:p w14:paraId="13D891B2" w14:textId="2DEB3DDE" w:rsidR="00C45400" w:rsidRPr="00696F63" w:rsidRDefault="00C45400" w:rsidP="00C343FF">
      <w:pPr>
        <w:rPr>
          <w:rFonts w:ascii="Times New Roman" w:eastAsia="新細明體" w:hAnsi="Times New Roman"/>
          <w:szCs w:val="20"/>
          <w:lang w:eastAsia="zh-TW"/>
        </w:rPr>
      </w:pPr>
    </w:p>
    <w:p w14:paraId="7794714C" w14:textId="0E4142D4" w:rsidR="00C45400" w:rsidRPr="00696F63" w:rsidRDefault="001A6DA7" w:rsidP="00CF417E">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78AD65FA" wp14:editId="2F2E2A0C">
            <wp:extent cx="5505450" cy="2101519"/>
            <wp:effectExtent l="0" t="0" r="0" b="0"/>
            <wp:docPr id="37" name="圖片 37">
              <a:extLst xmlns:a="http://schemas.openxmlformats.org/drawingml/2006/main">
                <a:ext uri="{FF2B5EF4-FFF2-40B4-BE49-F238E27FC236}">
                  <a16:creationId xmlns:a16="http://schemas.microsoft.com/office/drawing/2014/main" id="{B9947877-ACAE-87C5-3987-25FA16B873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B9947877-ACAE-87C5-3987-25FA16B8731C}"/>
                        </a:ext>
                      </a:extLst>
                    </pic:cNvPr>
                    <pic:cNvPicPr>
                      <a:picLocks noChangeAspect="1"/>
                    </pic:cNvPicPr>
                  </pic:nvPicPr>
                  <pic:blipFill>
                    <a:blip r:embed="rId18"/>
                    <a:stretch>
                      <a:fillRect/>
                    </a:stretch>
                  </pic:blipFill>
                  <pic:spPr>
                    <a:xfrm>
                      <a:off x="0" y="0"/>
                      <a:ext cx="5505450" cy="2101519"/>
                    </a:xfrm>
                    <a:prstGeom prst="rect">
                      <a:avLst/>
                    </a:prstGeom>
                  </pic:spPr>
                </pic:pic>
              </a:graphicData>
            </a:graphic>
          </wp:inline>
        </w:drawing>
      </w:r>
    </w:p>
    <w:p w14:paraId="76A39D39" w14:textId="34B13F19" w:rsidR="00494C21" w:rsidRPr="00696F63" w:rsidRDefault="00494C21" w:rsidP="00C343FF">
      <w:pPr>
        <w:rPr>
          <w:rFonts w:ascii="Times New Roman" w:eastAsia="新細明體" w:hAnsi="Times New Roman"/>
          <w:szCs w:val="20"/>
          <w:lang w:eastAsia="zh-TW"/>
        </w:rPr>
      </w:pPr>
    </w:p>
    <w:p w14:paraId="2809C5C0" w14:textId="4B30B2E7" w:rsidR="00494C21"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64C3012" wp14:editId="53DCE872">
            <wp:extent cx="5238750" cy="2027630"/>
            <wp:effectExtent l="0" t="0" r="0" b="0"/>
            <wp:docPr id="39" name="圖片 39">
              <a:extLst xmlns:a="http://schemas.openxmlformats.org/drawingml/2006/main">
                <a:ext uri="{FF2B5EF4-FFF2-40B4-BE49-F238E27FC236}">
                  <a16:creationId xmlns:a16="http://schemas.microsoft.com/office/drawing/2014/main" id="{440551B9-4C4E-CDA3-3C1B-573D1114DD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440551B9-4C4E-CDA3-3C1B-573D1114DD91}"/>
                        </a:ext>
                      </a:extLst>
                    </pic:cNvPr>
                    <pic:cNvPicPr>
                      <a:picLocks noChangeAspect="1"/>
                    </pic:cNvPicPr>
                  </pic:nvPicPr>
                  <pic:blipFill>
                    <a:blip r:embed="rId19"/>
                    <a:stretch>
                      <a:fillRect/>
                    </a:stretch>
                  </pic:blipFill>
                  <pic:spPr>
                    <a:xfrm>
                      <a:off x="0" y="0"/>
                      <a:ext cx="5238750" cy="2027630"/>
                    </a:xfrm>
                    <a:prstGeom prst="rect">
                      <a:avLst/>
                    </a:prstGeom>
                  </pic:spPr>
                </pic:pic>
              </a:graphicData>
            </a:graphic>
          </wp:inline>
        </w:drawing>
      </w:r>
    </w:p>
    <w:p w14:paraId="70BA6048" w14:textId="0ECE6692" w:rsidR="00CF417E" w:rsidRPr="00696F63" w:rsidRDefault="00CF417E" w:rsidP="00C343FF">
      <w:pPr>
        <w:rPr>
          <w:rFonts w:ascii="Times New Roman" w:eastAsia="新細明體" w:hAnsi="Times New Roman"/>
          <w:szCs w:val="20"/>
          <w:lang w:eastAsia="zh-TW"/>
        </w:rPr>
      </w:pPr>
    </w:p>
    <w:p w14:paraId="07EDD1AD" w14:textId="274E74A9" w:rsidR="00CF417E"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07DE421A" wp14:editId="749A9697">
            <wp:extent cx="5562600" cy="2128455"/>
            <wp:effectExtent l="0" t="0" r="0" b="5715"/>
            <wp:docPr id="41" name="圖片 41">
              <a:extLst xmlns:a="http://schemas.openxmlformats.org/drawingml/2006/main">
                <a:ext uri="{FF2B5EF4-FFF2-40B4-BE49-F238E27FC236}">
                  <a16:creationId xmlns:a16="http://schemas.microsoft.com/office/drawing/2014/main" id="{71D65FD5-28E2-C9BF-E6A2-7CA01B6219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71D65FD5-28E2-C9BF-E6A2-7CA01B62192A}"/>
                        </a:ext>
                      </a:extLst>
                    </pic:cNvPr>
                    <pic:cNvPicPr>
                      <a:picLocks noChangeAspect="1"/>
                    </pic:cNvPicPr>
                  </pic:nvPicPr>
                  <pic:blipFill>
                    <a:blip r:embed="rId20"/>
                    <a:stretch>
                      <a:fillRect/>
                    </a:stretch>
                  </pic:blipFill>
                  <pic:spPr>
                    <a:xfrm>
                      <a:off x="0" y="0"/>
                      <a:ext cx="5562600" cy="2128455"/>
                    </a:xfrm>
                    <a:prstGeom prst="rect">
                      <a:avLst/>
                    </a:prstGeom>
                  </pic:spPr>
                </pic:pic>
              </a:graphicData>
            </a:graphic>
          </wp:inline>
        </w:drawing>
      </w:r>
    </w:p>
    <w:p w14:paraId="7A30E03D" w14:textId="1F41A344" w:rsidR="001A6DA7" w:rsidRPr="00696F63" w:rsidRDefault="001A6DA7" w:rsidP="00C343FF">
      <w:pPr>
        <w:rPr>
          <w:rFonts w:ascii="Times New Roman" w:eastAsia="新細明體" w:hAnsi="Times New Roman"/>
          <w:szCs w:val="20"/>
          <w:lang w:eastAsia="zh-TW"/>
        </w:rPr>
      </w:pPr>
    </w:p>
    <w:p w14:paraId="2510FAB4" w14:textId="10324689" w:rsidR="001A6DA7"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73C8BEE6" wp14:editId="77506DAF">
            <wp:extent cx="5613400" cy="2161430"/>
            <wp:effectExtent l="0" t="0" r="6350" b="0"/>
            <wp:docPr id="43" name="圖片 43">
              <a:extLst xmlns:a="http://schemas.openxmlformats.org/drawingml/2006/main">
                <a:ext uri="{FF2B5EF4-FFF2-40B4-BE49-F238E27FC236}">
                  <a16:creationId xmlns:a16="http://schemas.microsoft.com/office/drawing/2014/main" id="{0E280CA4-806B-AAD1-223E-B9185B8E30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0E280CA4-806B-AAD1-223E-B9185B8E30BD}"/>
                        </a:ext>
                      </a:extLst>
                    </pic:cNvPr>
                    <pic:cNvPicPr>
                      <a:picLocks noChangeAspect="1"/>
                    </pic:cNvPicPr>
                  </pic:nvPicPr>
                  <pic:blipFill>
                    <a:blip r:embed="rId21"/>
                    <a:stretch>
                      <a:fillRect/>
                    </a:stretch>
                  </pic:blipFill>
                  <pic:spPr>
                    <a:xfrm>
                      <a:off x="0" y="0"/>
                      <a:ext cx="5613400" cy="2161430"/>
                    </a:xfrm>
                    <a:prstGeom prst="rect">
                      <a:avLst/>
                    </a:prstGeom>
                  </pic:spPr>
                </pic:pic>
              </a:graphicData>
            </a:graphic>
          </wp:inline>
        </w:drawing>
      </w:r>
    </w:p>
    <w:p w14:paraId="35DA76DF" w14:textId="7894BD6B" w:rsidR="00C45400" w:rsidRPr="00696F63" w:rsidRDefault="00C45400" w:rsidP="00C45400">
      <w:pPr>
        <w:jc w:val="center"/>
        <w:rPr>
          <w:rFonts w:ascii="Times New Roman" w:eastAsia="新細明體" w:hAnsi="Times New Roman"/>
          <w:szCs w:val="20"/>
          <w:lang w:eastAsia="zh-TW"/>
        </w:rPr>
      </w:pPr>
      <w:r w:rsidRPr="00696F63">
        <w:rPr>
          <w:rFonts w:ascii="Times New Roman" w:eastAsia="新細明體" w:hAnsi="Times New Roman"/>
          <w:b/>
          <w:bCs/>
          <w:szCs w:val="20"/>
          <w:lang w:eastAsia="zh-TW"/>
        </w:rPr>
        <w:t xml:space="preserve">Figure </w:t>
      </w:r>
      <w:r w:rsidR="001A6DA7" w:rsidRPr="00696F63">
        <w:rPr>
          <w:rFonts w:ascii="Times New Roman" w:eastAsia="新細明體" w:hAnsi="Times New Roman"/>
          <w:b/>
          <w:bCs/>
          <w:szCs w:val="20"/>
          <w:lang w:eastAsia="zh-TW"/>
        </w:rPr>
        <w:t>5</w:t>
      </w:r>
      <w:r w:rsidRPr="00696F63">
        <w:rPr>
          <w:rFonts w:ascii="Times New Roman" w:eastAsia="新細明體" w:hAnsi="Times New Roman"/>
          <w:b/>
          <w:bCs/>
          <w:szCs w:val="20"/>
          <w:lang w:eastAsia="zh-TW"/>
        </w:rPr>
        <w:t xml:space="preserve">. BLER vs. SNR for </w:t>
      </w:r>
      <w:r w:rsidR="001A6DA7" w:rsidRPr="00696F63">
        <w:rPr>
          <w:rFonts w:ascii="Times New Roman" w:eastAsia="新細明體" w:hAnsi="Times New Roman"/>
          <w:b/>
          <w:bCs/>
          <w:szCs w:val="20"/>
          <w:lang w:eastAsia="zh-TW"/>
        </w:rPr>
        <w:t>100</w:t>
      </w:r>
      <w:r w:rsidRPr="00696F63">
        <w:rPr>
          <w:rFonts w:ascii="Times New Roman" w:eastAsia="新細明體" w:hAnsi="Times New Roman"/>
          <w:b/>
          <w:bCs/>
          <w:szCs w:val="20"/>
          <w:lang w:eastAsia="zh-TW"/>
        </w:rPr>
        <w:t>ns delay spread</w:t>
      </w:r>
      <w:r w:rsidR="00CF417E" w:rsidRPr="00696F63">
        <w:rPr>
          <w:rFonts w:ascii="Times New Roman" w:eastAsia="新細明體" w:hAnsi="Times New Roman"/>
          <w:b/>
          <w:bCs/>
          <w:szCs w:val="20"/>
          <w:lang w:eastAsia="zh-TW"/>
        </w:rPr>
        <w:t xml:space="preserve"> and</w:t>
      </w:r>
      <w:r w:rsidRPr="00696F63">
        <w:rPr>
          <w:rFonts w:ascii="Times New Roman" w:eastAsia="新細明體" w:hAnsi="Times New Roman"/>
          <w:b/>
          <w:bCs/>
          <w:szCs w:val="20"/>
          <w:lang w:eastAsia="zh-TW"/>
        </w:rPr>
        <w:t xml:space="preserve"> </w:t>
      </w:r>
      <w:r w:rsidR="00CF417E" w:rsidRPr="00696F63">
        <w:rPr>
          <w:rFonts w:ascii="Times New Roman" w:eastAsia="新細明體" w:hAnsi="Times New Roman"/>
          <w:b/>
          <w:bCs/>
          <w:szCs w:val="20"/>
          <w:lang w:eastAsia="zh-TW"/>
        </w:rPr>
        <w:t>3</w:t>
      </w:r>
      <w:r w:rsidR="001A6DA7" w:rsidRPr="00696F63">
        <w:rPr>
          <w:rFonts w:ascii="Times New Roman" w:eastAsia="新細明體" w:hAnsi="Times New Roman"/>
          <w:b/>
          <w:bCs/>
          <w:szCs w:val="20"/>
          <w:lang w:eastAsia="zh-TW"/>
        </w:rPr>
        <w:t>/30</w:t>
      </w:r>
      <w:r w:rsidR="00CF417E" w:rsidRPr="00696F63">
        <w:rPr>
          <w:rFonts w:ascii="Times New Roman" w:eastAsia="新細明體" w:hAnsi="Times New Roman"/>
          <w:b/>
          <w:bCs/>
          <w:szCs w:val="20"/>
          <w:lang w:eastAsia="zh-TW"/>
        </w:rPr>
        <w:t>/</w:t>
      </w:r>
      <w:r w:rsidRPr="00696F63">
        <w:rPr>
          <w:rFonts w:ascii="Times New Roman" w:eastAsia="新細明體" w:hAnsi="Times New Roman"/>
          <w:b/>
          <w:bCs/>
          <w:szCs w:val="20"/>
          <w:lang w:eastAsia="zh-TW"/>
        </w:rPr>
        <w:t>60</w:t>
      </w:r>
      <w:r w:rsidR="00CF417E" w:rsidRPr="00696F63">
        <w:rPr>
          <w:rFonts w:ascii="Times New Roman" w:eastAsia="新細明體" w:hAnsi="Times New Roman"/>
          <w:b/>
          <w:bCs/>
          <w:szCs w:val="20"/>
          <w:lang w:eastAsia="zh-TW"/>
        </w:rPr>
        <w:t>/120</w:t>
      </w:r>
      <w:r w:rsidRPr="00696F63">
        <w:rPr>
          <w:rFonts w:ascii="Times New Roman" w:eastAsia="新細明體" w:hAnsi="Times New Roman"/>
          <w:b/>
          <w:bCs/>
          <w:szCs w:val="20"/>
          <w:lang w:eastAsia="zh-TW"/>
        </w:rPr>
        <w:t>km/hr UE speed</w:t>
      </w:r>
      <w:r w:rsidR="00CF417E" w:rsidRPr="00696F63">
        <w:rPr>
          <w:rFonts w:ascii="Times New Roman" w:eastAsia="新細明體" w:hAnsi="Times New Roman"/>
          <w:b/>
          <w:bCs/>
          <w:szCs w:val="20"/>
          <w:lang w:eastAsia="zh-TW"/>
        </w:rPr>
        <w:t xml:space="preserve"> in</w:t>
      </w:r>
      <w:r w:rsidRPr="00696F63">
        <w:rPr>
          <w:rFonts w:ascii="Times New Roman" w:eastAsia="新細明體" w:hAnsi="Times New Roman"/>
          <w:b/>
          <w:bCs/>
          <w:szCs w:val="20"/>
          <w:lang w:eastAsia="zh-TW"/>
        </w:rPr>
        <w:t xml:space="preserve"> 1</w:t>
      </w:r>
      <w:r w:rsidR="001A6DA7" w:rsidRPr="00696F63">
        <w:rPr>
          <w:rFonts w:ascii="Times New Roman" w:eastAsia="新細明體" w:hAnsi="Times New Roman"/>
          <w:b/>
          <w:bCs/>
          <w:szCs w:val="20"/>
          <w:lang w:eastAsia="zh-TW"/>
        </w:rPr>
        <w:t>5</w:t>
      </w:r>
      <w:r w:rsidRPr="00696F63">
        <w:rPr>
          <w:rFonts w:ascii="Times New Roman" w:eastAsia="新細明體" w:hAnsi="Times New Roman"/>
          <w:b/>
          <w:bCs/>
          <w:szCs w:val="20"/>
          <w:lang w:eastAsia="zh-TW"/>
        </w:rPr>
        <w:t xml:space="preserve"> GHz carrier frequency</w:t>
      </w:r>
      <w:r w:rsidR="001A6DA7" w:rsidRPr="00696F63">
        <w:rPr>
          <w:rFonts w:ascii="Times New Roman" w:eastAsia="新細明體" w:hAnsi="Times New Roman"/>
          <w:b/>
          <w:bCs/>
          <w:szCs w:val="20"/>
          <w:lang w:eastAsia="zh-TW"/>
        </w:rPr>
        <w:t xml:space="preserve"> and 6 </w:t>
      </w:r>
      <w:proofErr w:type="gramStart"/>
      <w:r w:rsidR="001A6DA7" w:rsidRPr="00696F63">
        <w:rPr>
          <w:rFonts w:ascii="Times New Roman" w:eastAsia="新細明體" w:hAnsi="Times New Roman"/>
          <w:b/>
          <w:bCs/>
          <w:szCs w:val="20"/>
          <w:lang w:eastAsia="zh-TW"/>
        </w:rPr>
        <w:t>layers</w:t>
      </w:r>
      <w:proofErr w:type="gramEnd"/>
    </w:p>
    <w:p w14:paraId="6788AD46" w14:textId="7D33AA34" w:rsidR="00494C21" w:rsidRPr="00696F63" w:rsidRDefault="00494C21" w:rsidP="00C343FF">
      <w:pPr>
        <w:rPr>
          <w:rFonts w:ascii="Times New Roman" w:eastAsia="新細明體" w:hAnsi="Times New Roman"/>
          <w:szCs w:val="20"/>
          <w:lang w:eastAsia="zh-TW"/>
        </w:rPr>
      </w:pPr>
    </w:p>
    <w:p w14:paraId="5048FDAA" w14:textId="5D9E73E5" w:rsidR="00C45400"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2D0EF2F" wp14:editId="4474B37E">
            <wp:extent cx="5746750" cy="2263450"/>
            <wp:effectExtent l="0" t="0" r="6350" b="3810"/>
            <wp:docPr id="45" name="圖片 45">
              <a:extLst xmlns:a="http://schemas.openxmlformats.org/drawingml/2006/main">
                <a:ext uri="{FF2B5EF4-FFF2-40B4-BE49-F238E27FC236}">
                  <a16:creationId xmlns:a16="http://schemas.microsoft.com/office/drawing/2014/main" id="{E2A0CC4B-BFDA-736A-4CC1-8321CC3796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E2A0CC4B-BFDA-736A-4CC1-8321CC379642}"/>
                        </a:ext>
                      </a:extLst>
                    </pic:cNvPr>
                    <pic:cNvPicPr>
                      <a:picLocks noChangeAspect="1"/>
                    </pic:cNvPicPr>
                  </pic:nvPicPr>
                  <pic:blipFill>
                    <a:blip r:embed="rId22"/>
                    <a:stretch>
                      <a:fillRect/>
                    </a:stretch>
                  </pic:blipFill>
                  <pic:spPr>
                    <a:xfrm>
                      <a:off x="0" y="0"/>
                      <a:ext cx="5746750" cy="2263450"/>
                    </a:xfrm>
                    <a:prstGeom prst="rect">
                      <a:avLst/>
                    </a:prstGeom>
                  </pic:spPr>
                </pic:pic>
              </a:graphicData>
            </a:graphic>
          </wp:inline>
        </w:drawing>
      </w:r>
    </w:p>
    <w:p w14:paraId="11A1F77D" w14:textId="4215824E" w:rsidR="00494C21" w:rsidRPr="00696F63" w:rsidRDefault="00494C21" w:rsidP="00C343FF">
      <w:pPr>
        <w:rPr>
          <w:rFonts w:ascii="Times New Roman" w:eastAsia="新細明體" w:hAnsi="Times New Roman"/>
          <w:szCs w:val="20"/>
          <w:lang w:eastAsia="zh-TW"/>
        </w:rPr>
      </w:pPr>
    </w:p>
    <w:p w14:paraId="246A7DF2" w14:textId="450B87C3" w:rsidR="00C45400"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66642133" wp14:editId="2A5A87CE">
            <wp:extent cx="5448300" cy="2109302"/>
            <wp:effectExtent l="0" t="0" r="0" b="5715"/>
            <wp:docPr id="47" name="圖片 47">
              <a:extLst xmlns:a="http://schemas.openxmlformats.org/drawingml/2006/main">
                <a:ext uri="{FF2B5EF4-FFF2-40B4-BE49-F238E27FC236}">
                  <a16:creationId xmlns:a16="http://schemas.microsoft.com/office/drawing/2014/main" id="{EB3F5CAA-CD1D-E04D-0CBE-066D9EC838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EB3F5CAA-CD1D-E04D-0CBE-066D9EC83801}"/>
                        </a:ext>
                      </a:extLst>
                    </pic:cNvPr>
                    <pic:cNvPicPr>
                      <a:picLocks noChangeAspect="1"/>
                    </pic:cNvPicPr>
                  </pic:nvPicPr>
                  <pic:blipFill>
                    <a:blip r:embed="rId23"/>
                    <a:stretch>
                      <a:fillRect/>
                    </a:stretch>
                  </pic:blipFill>
                  <pic:spPr>
                    <a:xfrm>
                      <a:off x="0" y="0"/>
                      <a:ext cx="5448300" cy="2109302"/>
                    </a:xfrm>
                    <a:prstGeom prst="rect">
                      <a:avLst/>
                    </a:prstGeom>
                  </pic:spPr>
                </pic:pic>
              </a:graphicData>
            </a:graphic>
          </wp:inline>
        </w:drawing>
      </w:r>
    </w:p>
    <w:p w14:paraId="41B17111" w14:textId="4E34B617" w:rsidR="00494C21" w:rsidRPr="00696F63" w:rsidRDefault="00494C21" w:rsidP="00C343FF">
      <w:pPr>
        <w:rPr>
          <w:rFonts w:ascii="Times New Roman" w:eastAsia="新細明體" w:hAnsi="Times New Roman"/>
          <w:szCs w:val="20"/>
          <w:lang w:eastAsia="zh-TW"/>
        </w:rPr>
      </w:pPr>
    </w:p>
    <w:p w14:paraId="7380C04B" w14:textId="6E096DC6" w:rsidR="00494C21"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7AC53997" wp14:editId="7B3F4F03">
            <wp:extent cx="5562600" cy="2168699"/>
            <wp:effectExtent l="0" t="0" r="0" b="3175"/>
            <wp:docPr id="49" name="圖片 49">
              <a:extLst xmlns:a="http://schemas.openxmlformats.org/drawingml/2006/main">
                <a:ext uri="{FF2B5EF4-FFF2-40B4-BE49-F238E27FC236}">
                  <a16:creationId xmlns:a16="http://schemas.microsoft.com/office/drawing/2014/main" id="{11C149B7-9E48-D83B-990D-E49B28B7C8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11C149B7-9E48-D83B-990D-E49B28B7C8B7}"/>
                        </a:ext>
                      </a:extLst>
                    </pic:cNvPr>
                    <pic:cNvPicPr>
                      <a:picLocks noChangeAspect="1"/>
                    </pic:cNvPicPr>
                  </pic:nvPicPr>
                  <pic:blipFill>
                    <a:blip r:embed="rId24"/>
                    <a:stretch>
                      <a:fillRect/>
                    </a:stretch>
                  </pic:blipFill>
                  <pic:spPr>
                    <a:xfrm>
                      <a:off x="0" y="0"/>
                      <a:ext cx="5562600" cy="2168699"/>
                    </a:xfrm>
                    <a:prstGeom prst="rect">
                      <a:avLst/>
                    </a:prstGeom>
                  </pic:spPr>
                </pic:pic>
              </a:graphicData>
            </a:graphic>
          </wp:inline>
        </w:drawing>
      </w:r>
    </w:p>
    <w:p w14:paraId="59A0E7D5" w14:textId="573A5C55" w:rsidR="00CF417E" w:rsidRPr="00696F63" w:rsidRDefault="00CF417E" w:rsidP="00C343FF">
      <w:pPr>
        <w:rPr>
          <w:rFonts w:ascii="Times New Roman" w:eastAsia="新細明體" w:hAnsi="Times New Roman"/>
          <w:szCs w:val="20"/>
          <w:lang w:eastAsia="zh-TW"/>
        </w:rPr>
      </w:pPr>
    </w:p>
    <w:p w14:paraId="3917254A" w14:textId="35AFF994" w:rsidR="00CF417E"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3B0665D4" wp14:editId="7F7D3F4B">
            <wp:extent cx="5556250" cy="2175559"/>
            <wp:effectExtent l="0" t="0" r="6350" b="0"/>
            <wp:docPr id="51" name="圖片 51">
              <a:extLst xmlns:a="http://schemas.openxmlformats.org/drawingml/2006/main">
                <a:ext uri="{FF2B5EF4-FFF2-40B4-BE49-F238E27FC236}">
                  <a16:creationId xmlns:a16="http://schemas.microsoft.com/office/drawing/2014/main" id="{6701AE05-4E0F-FBAB-2BAA-401C86C9CE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6701AE05-4E0F-FBAB-2BAA-401C86C9CE35}"/>
                        </a:ext>
                      </a:extLst>
                    </pic:cNvPr>
                    <pic:cNvPicPr>
                      <a:picLocks noChangeAspect="1"/>
                    </pic:cNvPicPr>
                  </pic:nvPicPr>
                  <pic:blipFill>
                    <a:blip r:embed="rId25"/>
                    <a:stretch>
                      <a:fillRect/>
                    </a:stretch>
                  </pic:blipFill>
                  <pic:spPr>
                    <a:xfrm>
                      <a:off x="0" y="0"/>
                      <a:ext cx="5556250" cy="2175559"/>
                    </a:xfrm>
                    <a:prstGeom prst="rect">
                      <a:avLst/>
                    </a:prstGeom>
                  </pic:spPr>
                </pic:pic>
              </a:graphicData>
            </a:graphic>
          </wp:inline>
        </w:drawing>
      </w:r>
    </w:p>
    <w:p w14:paraId="0D90F8FC" w14:textId="7784525B" w:rsidR="00C45400" w:rsidRPr="00696F63" w:rsidRDefault="00C45400" w:rsidP="00C45400">
      <w:pPr>
        <w:jc w:val="center"/>
        <w:rPr>
          <w:rFonts w:ascii="Times New Roman" w:eastAsia="新細明體" w:hAnsi="Times New Roman"/>
          <w:szCs w:val="20"/>
          <w:lang w:eastAsia="zh-TW"/>
        </w:rPr>
      </w:pPr>
      <w:r w:rsidRPr="00696F63">
        <w:rPr>
          <w:rFonts w:ascii="Times New Roman" w:eastAsia="新細明體" w:hAnsi="Times New Roman"/>
          <w:b/>
          <w:bCs/>
          <w:szCs w:val="20"/>
          <w:lang w:eastAsia="zh-TW"/>
        </w:rPr>
        <w:t xml:space="preserve">Figure </w:t>
      </w:r>
      <w:r w:rsidR="001A6DA7" w:rsidRPr="00696F63">
        <w:rPr>
          <w:rFonts w:ascii="Times New Roman" w:eastAsia="新細明體" w:hAnsi="Times New Roman"/>
          <w:b/>
          <w:bCs/>
          <w:szCs w:val="20"/>
          <w:lang w:eastAsia="zh-TW"/>
        </w:rPr>
        <w:t>6</w:t>
      </w:r>
      <w:r w:rsidRPr="00696F63">
        <w:rPr>
          <w:rFonts w:ascii="Times New Roman" w:eastAsia="新細明體" w:hAnsi="Times New Roman"/>
          <w:b/>
          <w:bCs/>
          <w:szCs w:val="20"/>
          <w:lang w:eastAsia="zh-TW"/>
        </w:rPr>
        <w:t xml:space="preserve">. </w:t>
      </w:r>
      <w:r w:rsidR="001A6DA7" w:rsidRPr="00696F63">
        <w:rPr>
          <w:rFonts w:ascii="Times New Roman" w:eastAsia="新細明體" w:hAnsi="Times New Roman"/>
          <w:b/>
          <w:bCs/>
          <w:szCs w:val="20"/>
          <w:lang w:eastAsia="zh-TW"/>
        </w:rPr>
        <w:t xml:space="preserve">BLER vs. SNR for 300ns delay spread and 3/30/60/120km/hr UE speed in 15 GHz carrier frequency and 6 </w:t>
      </w:r>
      <w:proofErr w:type="gramStart"/>
      <w:r w:rsidR="001A6DA7" w:rsidRPr="00696F63">
        <w:rPr>
          <w:rFonts w:ascii="Times New Roman" w:eastAsia="新細明體" w:hAnsi="Times New Roman"/>
          <w:b/>
          <w:bCs/>
          <w:szCs w:val="20"/>
          <w:lang w:eastAsia="zh-TW"/>
        </w:rPr>
        <w:t>layers</w:t>
      </w:r>
      <w:proofErr w:type="gramEnd"/>
    </w:p>
    <w:p w14:paraId="7410D74E" w14:textId="2A586911" w:rsidR="001A6DA7" w:rsidRPr="00696F63" w:rsidRDefault="001A6DA7" w:rsidP="00C343FF">
      <w:pPr>
        <w:rPr>
          <w:rFonts w:ascii="Times New Roman" w:eastAsia="新細明體" w:hAnsi="Times New Roman"/>
          <w:b/>
          <w:bCs/>
          <w:szCs w:val="20"/>
          <w:lang w:eastAsia="zh-TW"/>
        </w:rPr>
      </w:pPr>
    </w:p>
    <w:p w14:paraId="4520B3DC" w14:textId="506045DC"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1864DF2B" wp14:editId="70D22AB7">
            <wp:extent cx="5721350" cy="2263744"/>
            <wp:effectExtent l="0" t="0" r="0" b="3810"/>
            <wp:docPr id="78" name="圖片 78">
              <a:extLst xmlns:a="http://schemas.openxmlformats.org/drawingml/2006/main">
                <a:ext uri="{FF2B5EF4-FFF2-40B4-BE49-F238E27FC236}">
                  <a16:creationId xmlns:a16="http://schemas.microsoft.com/office/drawing/2014/main" id="{9A168648-A320-0EED-3CD8-607F13553C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9A168648-A320-0EED-3CD8-607F13553C01}"/>
                        </a:ext>
                      </a:extLst>
                    </pic:cNvPr>
                    <pic:cNvPicPr>
                      <a:picLocks noChangeAspect="1"/>
                    </pic:cNvPicPr>
                  </pic:nvPicPr>
                  <pic:blipFill>
                    <a:blip r:embed="rId26"/>
                    <a:stretch>
                      <a:fillRect/>
                    </a:stretch>
                  </pic:blipFill>
                  <pic:spPr>
                    <a:xfrm>
                      <a:off x="0" y="0"/>
                      <a:ext cx="5721350" cy="2263744"/>
                    </a:xfrm>
                    <a:prstGeom prst="rect">
                      <a:avLst/>
                    </a:prstGeom>
                  </pic:spPr>
                </pic:pic>
              </a:graphicData>
            </a:graphic>
          </wp:inline>
        </w:drawing>
      </w:r>
    </w:p>
    <w:p w14:paraId="12A0E7C0" w14:textId="1CC37C55" w:rsidR="001A6DA7" w:rsidRPr="00696F63" w:rsidRDefault="001A6DA7" w:rsidP="00C343FF">
      <w:pPr>
        <w:rPr>
          <w:rFonts w:ascii="Times New Roman" w:eastAsia="新細明體" w:hAnsi="Times New Roman"/>
          <w:b/>
          <w:bCs/>
          <w:szCs w:val="20"/>
          <w:lang w:eastAsia="zh-TW"/>
        </w:rPr>
      </w:pPr>
    </w:p>
    <w:p w14:paraId="41E768A6" w14:textId="0413DC8C"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lastRenderedPageBreak/>
        <w:drawing>
          <wp:inline distT="0" distB="0" distL="0" distR="0" wp14:anchorId="09009F49" wp14:editId="77EB5E60">
            <wp:extent cx="5416550" cy="2081946"/>
            <wp:effectExtent l="0" t="0" r="0" b="0"/>
            <wp:docPr id="80" name="圖片 80">
              <a:extLst xmlns:a="http://schemas.openxmlformats.org/drawingml/2006/main">
                <a:ext uri="{FF2B5EF4-FFF2-40B4-BE49-F238E27FC236}">
                  <a16:creationId xmlns:a16="http://schemas.microsoft.com/office/drawing/2014/main" id="{A4F39EE0-B1C0-A8D8-D5D0-7DF53852FD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A4F39EE0-B1C0-A8D8-D5D0-7DF53852FD41}"/>
                        </a:ext>
                      </a:extLst>
                    </pic:cNvPr>
                    <pic:cNvPicPr>
                      <a:picLocks noChangeAspect="1"/>
                    </pic:cNvPicPr>
                  </pic:nvPicPr>
                  <pic:blipFill>
                    <a:blip r:embed="rId27"/>
                    <a:stretch>
                      <a:fillRect/>
                    </a:stretch>
                  </pic:blipFill>
                  <pic:spPr>
                    <a:xfrm>
                      <a:off x="0" y="0"/>
                      <a:ext cx="5416550" cy="2081946"/>
                    </a:xfrm>
                    <a:prstGeom prst="rect">
                      <a:avLst/>
                    </a:prstGeom>
                  </pic:spPr>
                </pic:pic>
              </a:graphicData>
            </a:graphic>
          </wp:inline>
        </w:drawing>
      </w:r>
    </w:p>
    <w:p w14:paraId="65A66F1C" w14:textId="1285837A" w:rsidR="001A6DA7" w:rsidRPr="00696F63" w:rsidRDefault="001A6DA7" w:rsidP="00C343FF">
      <w:pPr>
        <w:rPr>
          <w:rFonts w:ascii="Times New Roman" w:eastAsia="新細明體" w:hAnsi="Times New Roman"/>
          <w:b/>
          <w:bCs/>
          <w:szCs w:val="20"/>
          <w:lang w:eastAsia="zh-TW"/>
        </w:rPr>
      </w:pPr>
    </w:p>
    <w:p w14:paraId="3D0177F6" w14:textId="54BD49E8"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7CC9315A" wp14:editId="4D77555C">
            <wp:extent cx="5607050" cy="2191105"/>
            <wp:effectExtent l="0" t="0" r="0" b="0"/>
            <wp:docPr id="82" name="圖片 82">
              <a:extLst xmlns:a="http://schemas.openxmlformats.org/drawingml/2006/main">
                <a:ext uri="{FF2B5EF4-FFF2-40B4-BE49-F238E27FC236}">
                  <a16:creationId xmlns:a16="http://schemas.microsoft.com/office/drawing/2014/main" id="{98DD8F77-386B-BFD9-85B7-981305DE0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98DD8F77-386B-BFD9-85B7-981305DE0E34}"/>
                        </a:ext>
                      </a:extLst>
                    </pic:cNvPr>
                    <pic:cNvPicPr>
                      <a:picLocks noChangeAspect="1"/>
                    </pic:cNvPicPr>
                  </pic:nvPicPr>
                  <pic:blipFill>
                    <a:blip r:embed="rId28"/>
                    <a:stretch>
                      <a:fillRect/>
                    </a:stretch>
                  </pic:blipFill>
                  <pic:spPr>
                    <a:xfrm>
                      <a:off x="0" y="0"/>
                      <a:ext cx="5607050" cy="2191105"/>
                    </a:xfrm>
                    <a:prstGeom prst="rect">
                      <a:avLst/>
                    </a:prstGeom>
                  </pic:spPr>
                </pic:pic>
              </a:graphicData>
            </a:graphic>
          </wp:inline>
        </w:drawing>
      </w:r>
    </w:p>
    <w:p w14:paraId="7C63FCB1" w14:textId="27119472" w:rsidR="001A6DA7" w:rsidRPr="00696F63" w:rsidRDefault="001A6DA7" w:rsidP="00C343FF">
      <w:pPr>
        <w:rPr>
          <w:rFonts w:ascii="Times New Roman" w:eastAsia="新細明體" w:hAnsi="Times New Roman"/>
          <w:b/>
          <w:bCs/>
          <w:szCs w:val="20"/>
          <w:lang w:eastAsia="zh-TW"/>
        </w:rPr>
      </w:pPr>
    </w:p>
    <w:p w14:paraId="572BC254" w14:textId="1FEE9F4B" w:rsidR="001A6DA7" w:rsidRPr="00696F63" w:rsidRDefault="001A6DA7" w:rsidP="00C343FF">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7C501E5B" wp14:editId="28A98F08">
            <wp:extent cx="5671745" cy="2220174"/>
            <wp:effectExtent l="0" t="0" r="5715" b="8890"/>
            <wp:docPr id="84" name="圖片 84">
              <a:extLst xmlns:a="http://schemas.openxmlformats.org/drawingml/2006/main">
                <a:ext uri="{FF2B5EF4-FFF2-40B4-BE49-F238E27FC236}">
                  <a16:creationId xmlns:a16="http://schemas.microsoft.com/office/drawing/2014/main" id="{1E6806E9-50FE-1195-CEEA-881B8C8549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1E6806E9-50FE-1195-CEEA-881B8C8549E5}"/>
                        </a:ext>
                      </a:extLst>
                    </pic:cNvPr>
                    <pic:cNvPicPr>
                      <a:picLocks noChangeAspect="1"/>
                    </pic:cNvPicPr>
                  </pic:nvPicPr>
                  <pic:blipFill>
                    <a:blip r:embed="rId29"/>
                    <a:stretch>
                      <a:fillRect/>
                    </a:stretch>
                  </pic:blipFill>
                  <pic:spPr>
                    <a:xfrm>
                      <a:off x="0" y="0"/>
                      <a:ext cx="5671745" cy="2220174"/>
                    </a:xfrm>
                    <a:prstGeom prst="rect">
                      <a:avLst/>
                    </a:prstGeom>
                  </pic:spPr>
                </pic:pic>
              </a:graphicData>
            </a:graphic>
          </wp:inline>
        </w:drawing>
      </w:r>
    </w:p>
    <w:p w14:paraId="44CAFAC4" w14:textId="784284A3"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 xml:space="preserve">Figure 7. BLER vs. SNR for 30ns delay spread and 3/30/60/120km/hr UE speed in 15 GHz carrier frequency and 8 </w:t>
      </w:r>
      <w:proofErr w:type="gramStart"/>
      <w:r w:rsidRPr="00696F63">
        <w:rPr>
          <w:rFonts w:ascii="Times New Roman" w:eastAsia="新細明體" w:hAnsi="Times New Roman"/>
          <w:b/>
          <w:bCs/>
          <w:szCs w:val="20"/>
          <w:lang w:eastAsia="zh-TW"/>
        </w:rPr>
        <w:t>layers</w:t>
      </w:r>
      <w:proofErr w:type="gramEnd"/>
    </w:p>
    <w:p w14:paraId="1F4D5361" w14:textId="2AE75E0C" w:rsidR="001A6DA7" w:rsidRPr="00C343FF" w:rsidRDefault="001A6DA7" w:rsidP="00C343FF">
      <w:pPr>
        <w:rPr>
          <w:rFonts w:ascii="Times New Roman" w:eastAsia="新細明體" w:hAnsi="Times New Roman"/>
          <w:szCs w:val="20"/>
          <w:lang w:eastAsia="zh-TW"/>
        </w:rPr>
      </w:pPr>
    </w:p>
    <w:p w14:paraId="748483C8" w14:textId="6E57FA26"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4024849B" wp14:editId="54001170">
            <wp:extent cx="5581650" cy="2173146"/>
            <wp:effectExtent l="0" t="0" r="0" b="0"/>
            <wp:docPr id="86" name="圖片 86">
              <a:extLst xmlns:a="http://schemas.openxmlformats.org/drawingml/2006/main">
                <a:ext uri="{FF2B5EF4-FFF2-40B4-BE49-F238E27FC236}">
                  <a16:creationId xmlns:a16="http://schemas.microsoft.com/office/drawing/2014/main" id="{3A850E57-815E-3C8E-2EEB-D13645AA57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3A850E57-815E-3C8E-2EEB-D13645AA5795}"/>
                        </a:ext>
                      </a:extLst>
                    </pic:cNvPr>
                    <pic:cNvPicPr>
                      <a:picLocks noChangeAspect="1"/>
                    </pic:cNvPicPr>
                  </pic:nvPicPr>
                  <pic:blipFill>
                    <a:blip r:embed="rId30"/>
                    <a:stretch>
                      <a:fillRect/>
                    </a:stretch>
                  </pic:blipFill>
                  <pic:spPr>
                    <a:xfrm>
                      <a:off x="0" y="0"/>
                      <a:ext cx="5581650" cy="2173146"/>
                    </a:xfrm>
                    <a:prstGeom prst="rect">
                      <a:avLst/>
                    </a:prstGeom>
                  </pic:spPr>
                </pic:pic>
              </a:graphicData>
            </a:graphic>
          </wp:inline>
        </w:drawing>
      </w:r>
    </w:p>
    <w:p w14:paraId="1AC07DCE" w14:textId="090FBD84" w:rsidR="001A6DA7" w:rsidRPr="00696F63" w:rsidRDefault="001A6DA7" w:rsidP="00C343FF">
      <w:pPr>
        <w:rPr>
          <w:rFonts w:ascii="Times New Roman" w:eastAsia="新細明體" w:hAnsi="Times New Roman"/>
          <w:szCs w:val="20"/>
          <w:lang w:eastAsia="zh-TW"/>
        </w:rPr>
      </w:pPr>
    </w:p>
    <w:p w14:paraId="65A6FBE9" w14:textId="6EF01689"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0B9D8334" wp14:editId="34BF1811">
            <wp:extent cx="5354862" cy="2041999"/>
            <wp:effectExtent l="0" t="0" r="0" b="0"/>
            <wp:docPr id="88" name="圖片 88">
              <a:extLst xmlns:a="http://schemas.openxmlformats.org/drawingml/2006/main">
                <a:ext uri="{FF2B5EF4-FFF2-40B4-BE49-F238E27FC236}">
                  <a16:creationId xmlns:a16="http://schemas.microsoft.com/office/drawing/2014/main" id="{9201C7B2-838E-BBF7-8360-2EA106A25F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9201C7B2-838E-BBF7-8360-2EA106A25FB6}"/>
                        </a:ext>
                      </a:extLst>
                    </pic:cNvPr>
                    <pic:cNvPicPr>
                      <a:picLocks noChangeAspect="1"/>
                    </pic:cNvPicPr>
                  </pic:nvPicPr>
                  <pic:blipFill>
                    <a:blip r:embed="rId31"/>
                    <a:stretch>
                      <a:fillRect/>
                    </a:stretch>
                  </pic:blipFill>
                  <pic:spPr>
                    <a:xfrm>
                      <a:off x="0" y="0"/>
                      <a:ext cx="5354862" cy="2041999"/>
                    </a:xfrm>
                    <a:prstGeom prst="rect">
                      <a:avLst/>
                    </a:prstGeom>
                  </pic:spPr>
                </pic:pic>
              </a:graphicData>
            </a:graphic>
          </wp:inline>
        </w:drawing>
      </w:r>
    </w:p>
    <w:p w14:paraId="521AFCB3" w14:textId="3BE62B8C" w:rsidR="001A6DA7" w:rsidRPr="00696F63" w:rsidRDefault="001A6DA7" w:rsidP="00C343FF">
      <w:pPr>
        <w:rPr>
          <w:rFonts w:ascii="Times New Roman" w:eastAsia="新細明體" w:hAnsi="Times New Roman"/>
          <w:szCs w:val="20"/>
          <w:lang w:eastAsia="zh-TW"/>
        </w:rPr>
      </w:pPr>
    </w:p>
    <w:p w14:paraId="705D3DCF" w14:textId="45278DBA"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1974EAC6" wp14:editId="355F5C03">
            <wp:extent cx="5461000" cy="2129088"/>
            <wp:effectExtent l="0" t="0" r="6350" b="5080"/>
            <wp:docPr id="90" name="圖片 90">
              <a:extLst xmlns:a="http://schemas.openxmlformats.org/drawingml/2006/main">
                <a:ext uri="{FF2B5EF4-FFF2-40B4-BE49-F238E27FC236}">
                  <a16:creationId xmlns:a16="http://schemas.microsoft.com/office/drawing/2014/main" id="{8A2C3C6C-ED7D-6A19-624D-7D8EAFFC3A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8A2C3C6C-ED7D-6A19-624D-7D8EAFFC3A97}"/>
                        </a:ext>
                      </a:extLst>
                    </pic:cNvPr>
                    <pic:cNvPicPr>
                      <a:picLocks noChangeAspect="1"/>
                    </pic:cNvPicPr>
                  </pic:nvPicPr>
                  <pic:blipFill>
                    <a:blip r:embed="rId32"/>
                    <a:stretch>
                      <a:fillRect/>
                    </a:stretch>
                  </pic:blipFill>
                  <pic:spPr>
                    <a:xfrm>
                      <a:off x="0" y="0"/>
                      <a:ext cx="5461000" cy="2129088"/>
                    </a:xfrm>
                    <a:prstGeom prst="rect">
                      <a:avLst/>
                    </a:prstGeom>
                  </pic:spPr>
                </pic:pic>
              </a:graphicData>
            </a:graphic>
          </wp:inline>
        </w:drawing>
      </w:r>
    </w:p>
    <w:p w14:paraId="441925C9" w14:textId="0821755A" w:rsidR="001A6DA7" w:rsidRPr="00696F63" w:rsidRDefault="001A6DA7" w:rsidP="00C343FF">
      <w:pPr>
        <w:rPr>
          <w:rFonts w:ascii="Times New Roman" w:eastAsia="新細明體" w:hAnsi="Times New Roman"/>
          <w:szCs w:val="20"/>
          <w:lang w:eastAsia="zh-TW"/>
        </w:rPr>
      </w:pPr>
    </w:p>
    <w:p w14:paraId="13CB65F7" w14:textId="23450A5F"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2AABAEB0" wp14:editId="1759570E">
            <wp:extent cx="5734050" cy="2215008"/>
            <wp:effectExtent l="0" t="0" r="0" b="0"/>
            <wp:docPr id="92" name="圖片 92">
              <a:extLst xmlns:a="http://schemas.openxmlformats.org/drawingml/2006/main">
                <a:ext uri="{FF2B5EF4-FFF2-40B4-BE49-F238E27FC236}">
                  <a16:creationId xmlns:a16="http://schemas.microsoft.com/office/drawing/2014/main" id="{E4EDCD52-A2E5-A8DF-5B26-9439A0679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E4EDCD52-A2E5-A8DF-5B26-9439A067937D}"/>
                        </a:ext>
                      </a:extLst>
                    </pic:cNvPr>
                    <pic:cNvPicPr>
                      <a:picLocks noChangeAspect="1"/>
                    </pic:cNvPicPr>
                  </pic:nvPicPr>
                  <pic:blipFill>
                    <a:blip r:embed="rId33"/>
                    <a:stretch>
                      <a:fillRect/>
                    </a:stretch>
                  </pic:blipFill>
                  <pic:spPr>
                    <a:xfrm>
                      <a:off x="0" y="0"/>
                      <a:ext cx="5734050" cy="2215008"/>
                    </a:xfrm>
                    <a:prstGeom prst="rect">
                      <a:avLst/>
                    </a:prstGeom>
                  </pic:spPr>
                </pic:pic>
              </a:graphicData>
            </a:graphic>
          </wp:inline>
        </w:drawing>
      </w:r>
    </w:p>
    <w:p w14:paraId="7D137551" w14:textId="361DA503"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b/>
          <w:bCs/>
          <w:szCs w:val="20"/>
          <w:lang w:eastAsia="zh-TW"/>
        </w:rPr>
        <w:t xml:space="preserve">Figure 8. BLER vs. SNR for 100ns delay spread and 3/30/60/120km/hr UE speed in 15 GHz carrier frequency and 8 </w:t>
      </w:r>
      <w:proofErr w:type="gramStart"/>
      <w:r w:rsidRPr="00696F63">
        <w:rPr>
          <w:rFonts w:ascii="Times New Roman" w:eastAsia="新細明體" w:hAnsi="Times New Roman"/>
          <w:b/>
          <w:bCs/>
          <w:szCs w:val="20"/>
          <w:lang w:eastAsia="zh-TW"/>
        </w:rPr>
        <w:t>layers</w:t>
      </w:r>
      <w:proofErr w:type="gramEnd"/>
    </w:p>
    <w:p w14:paraId="08ADE26F" w14:textId="2A503A8F" w:rsidR="001A6DA7" w:rsidRPr="00696F63" w:rsidRDefault="001A6DA7" w:rsidP="00C343FF">
      <w:pPr>
        <w:rPr>
          <w:rFonts w:ascii="Times New Roman" w:eastAsia="新細明體" w:hAnsi="Times New Roman"/>
          <w:szCs w:val="20"/>
          <w:lang w:eastAsia="zh-TW"/>
        </w:rPr>
      </w:pPr>
    </w:p>
    <w:p w14:paraId="1B76384E" w14:textId="2061BBBE" w:rsidR="001A6DA7" w:rsidRPr="00696F63" w:rsidRDefault="001A6DA7" w:rsidP="00C343FF">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4305100" wp14:editId="6CA021E6">
            <wp:extent cx="5346700" cy="2070388"/>
            <wp:effectExtent l="0" t="0" r="6350" b="6350"/>
            <wp:docPr id="94" name="圖片 94">
              <a:extLst xmlns:a="http://schemas.openxmlformats.org/drawingml/2006/main">
                <a:ext uri="{FF2B5EF4-FFF2-40B4-BE49-F238E27FC236}">
                  <a16:creationId xmlns:a16="http://schemas.microsoft.com/office/drawing/2014/main" id="{6BC0370A-B1B1-238E-0FA6-59C2FC07E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6BC0370A-B1B1-238E-0FA6-59C2FC07EE09}"/>
                        </a:ext>
                      </a:extLst>
                    </pic:cNvPr>
                    <pic:cNvPicPr>
                      <a:picLocks noChangeAspect="1"/>
                    </pic:cNvPicPr>
                  </pic:nvPicPr>
                  <pic:blipFill>
                    <a:blip r:embed="rId34"/>
                    <a:stretch>
                      <a:fillRect/>
                    </a:stretch>
                  </pic:blipFill>
                  <pic:spPr>
                    <a:xfrm>
                      <a:off x="0" y="0"/>
                      <a:ext cx="5346700" cy="2070388"/>
                    </a:xfrm>
                    <a:prstGeom prst="rect">
                      <a:avLst/>
                    </a:prstGeom>
                  </pic:spPr>
                </pic:pic>
              </a:graphicData>
            </a:graphic>
          </wp:inline>
        </w:drawing>
      </w:r>
    </w:p>
    <w:p w14:paraId="3408C806" w14:textId="606C240A" w:rsidR="001A6DA7" w:rsidRPr="00696F63" w:rsidRDefault="001A6DA7" w:rsidP="00C343FF">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7ED8C14" wp14:editId="5F23A7D7">
            <wp:extent cx="5549900" cy="2194774"/>
            <wp:effectExtent l="0" t="0" r="0" b="0"/>
            <wp:docPr id="96" name="圖片 96">
              <a:extLst xmlns:a="http://schemas.openxmlformats.org/drawingml/2006/main">
                <a:ext uri="{FF2B5EF4-FFF2-40B4-BE49-F238E27FC236}">
                  <a16:creationId xmlns:a16="http://schemas.microsoft.com/office/drawing/2014/main" id="{734FFE53-DAFF-A4E9-F2EF-EB1F20A5CD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734FFE53-DAFF-A4E9-F2EF-EB1F20A5CDD8}"/>
                        </a:ext>
                      </a:extLst>
                    </pic:cNvPr>
                    <pic:cNvPicPr>
                      <a:picLocks noChangeAspect="1"/>
                    </pic:cNvPicPr>
                  </pic:nvPicPr>
                  <pic:blipFill>
                    <a:blip r:embed="rId35"/>
                    <a:stretch>
                      <a:fillRect/>
                    </a:stretch>
                  </pic:blipFill>
                  <pic:spPr>
                    <a:xfrm>
                      <a:off x="0" y="0"/>
                      <a:ext cx="5549900" cy="2194774"/>
                    </a:xfrm>
                    <a:prstGeom prst="rect">
                      <a:avLst/>
                    </a:prstGeom>
                  </pic:spPr>
                </pic:pic>
              </a:graphicData>
            </a:graphic>
          </wp:inline>
        </w:drawing>
      </w:r>
    </w:p>
    <w:p w14:paraId="07951F71" w14:textId="2FAF806E" w:rsidR="001A6DA7" w:rsidRPr="00696F63" w:rsidRDefault="001A6DA7" w:rsidP="00C343FF">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0D2D7989" wp14:editId="249C3B1D">
            <wp:extent cx="5321300" cy="2053235"/>
            <wp:effectExtent l="0" t="0" r="0" b="4445"/>
            <wp:docPr id="98" name="圖片 98">
              <a:extLst xmlns:a="http://schemas.openxmlformats.org/drawingml/2006/main">
                <a:ext uri="{FF2B5EF4-FFF2-40B4-BE49-F238E27FC236}">
                  <a16:creationId xmlns:a16="http://schemas.microsoft.com/office/drawing/2014/main" id="{60624030-E1DD-EB80-9B57-215D76A50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60624030-E1DD-EB80-9B57-215D76A50F19}"/>
                        </a:ext>
                      </a:extLst>
                    </pic:cNvPr>
                    <pic:cNvPicPr>
                      <a:picLocks noChangeAspect="1"/>
                    </pic:cNvPicPr>
                  </pic:nvPicPr>
                  <pic:blipFill>
                    <a:blip r:embed="rId36"/>
                    <a:stretch>
                      <a:fillRect/>
                    </a:stretch>
                  </pic:blipFill>
                  <pic:spPr>
                    <a:xfrm>
                      <a:off x="0" y="0"/>
                      <a:ext cx="5321300" cy="2053235"/>
                    </a:xfrm>
                    <a:prstGeom prst="rect">
                      <a:avLst/>
                    </a:prstGeom>
                  </pic:spPr>
                </pic:pic>
              </a:graphicData>
            </a:graphic>
          </wp:inline>
        </w:drawing>
      </w:r>
    </w:p>
    <w:p w14:paraId="7EE3E2D3" w14:textId="57CDE474"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10C2172D" wp14:editId="00FFD572">
            <wp:extent cx="5334000" cy="2067845"/>
            <wp:effectExtent l="0" t="0" r="0" b="8890"/>
            <wp:docPr id="100" name="圖片 100">
              <a:extLst xmlns:a="http://schemas.openxmlformats.org/drawingml/2006/main">
                <a:ext uri="{FF2B5EF4-FFF2-40B4-BE49-F238E27FC236}">
                  <a16:creationId xmlns:a16="http://schemas.microsoft.com/office/drawing/2014/main" id="{718CCE12-222A-F24D-C594-711CDF4892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718CCE12-222A-F24D-C594-711CDF4892F5}"/>
                        </a:ext>
                      </a:extLst>
                    </pic:cNvPr>
                    <pic:cNvPicPr>
                      <a:picLocks noChangeAspect="1"/>
                    </pic:cNvPicPr>
                  </pic:nvPicPr>
                  <pic:blipFill>
                    <a:blip r:embed="rId37"/>
                    <a:stretch>
                      <a:fillRect/>
                    </a:stretch>
                  </pic:blipFill>
                  <pic:spPr>
                    <a:xfrm>
                      <a:off x="0" y="0"/>
                      <a:ext cx="5334000" cy="2067845"/>
                    </a:xfrm>
                    <a:prstGeom prst="rect">
                      <a:avLst/>
                    </a:prstGeom>
                  </pic:spPr>
                </pic:pic>
              </a:graphicData>
            </a:graphic>
          </wp:inline>
        </w:drawing>
      </w:r>
    </w:p>
    <w:p w14:paraId="0781C260" w14:textId="42EA4FB3"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b/>
          <w:bCs/>
          <w:szCs w:val="20"/>
          <w:lang w:eastAsia="zh-TW"/>
        </w:rPr>
        <w:t xml:space="preserve">Figure 9. BLER vs. SNR for 300ns delay spread and 3/30/60/120km/hr UE speed in 15 GHz carrier frequency and 8 </w:t>
      </w:r>
      <w:proofErr w:type="gramStart"/>
      <w:r w:rsidRPr="00696F63">
        <w:rPr>
          <w:rFonts w:ascii="Times New Roman" w:eastAsia="新細明體" w:hAnsi="Times New Roman"/>
          <w:b/>
          <w:bCs/>
          <w:szCs w:val="20"/>
          <w:lang w:eastAsia="zh-TW"/>
        </w:rPr>
        <w:t>layers</w:t>
      </w:r>
      <w:proofErr w:type="gramEnd"/>
    </w:p>
    <w:p w14:paraId="18574225" w14:textId="77777777" w:rsidR="00C45400" w:rsidRPr="00696F63" w:rsidRDefault="00C45400" w:rsidP="00C4659F">
      <w:pPr>
        <w:rPr>
          <w:rFonts w:ascii="Times New Roman" w:eastAsia="新細明體" w:hAnsi="Times New Roman"/>
          <w:b/>
          <w:bCs/>
          <w:szCs w:val="20"/>
          <w:lang w:eastAsia="zh-TW"/>
        </w:rPr>
      </w:pPr>
    </w:p>
    <w:p w14:paraId="28905F18" w14:textId="62041D48" w:rsidR="00C45400" w:rsidRPr="00696F63" w:rsidRDefault="00C45400" w:rsidP="00C45400">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Observation </w:t>
      </w:r>
      <w:r w:rsidR="00C343FF">
        <w:rPr>
          <w:rFonts w:ascii="Times New Roman" w:eastAsia="新細明體" w:hAnsi="Times New Roman"/>
          <w:b/>
          <w:bCs/>
          <w:szCs w:val="20"/>
          <w:u w:val="single"/>
          <w:lang w:eastAsia="zh-TW"/>
        </w:rPr>
        <w:t>3</w:t>
      </w:r>
      <w:r w:rsidRPr="00696F63">
        <w:rPr>
          <w:rFonts w:ascii="Times New Roman" w:eastAsia="新細明體" w:hAnsi="Times New Roman"/>
          <w:b/>
          <w:bCs/>
          <w:szCs w:val="20"/>
          <w:lang w:eastAsia="zh-TW"/>
        </w:rPr>
        <w:t xml:space="preserve">: </w:t>
      </w:r>
      <w:r w:rsidR="006A410C" w:rsidRPr="00696F63">
        <w:rPr>
          <w:rFonts w:ascii="Times New Roman" w:eastAsia="新細明體" w:hAnsi="Times New Roman"/>
          <w:b/>
          <w:bCs/>
          <w:szCs w:val="20"/>
          <w:lang w:eastAsia="zh-TW"/>
        </w:rPr>
        <w:t>For 1</w:t>
      </w:r>
      <w:r w:rsidR="00F87DD8" w:rsidRPr="00696F63">
        <w:rPr>
          <w:rFonts w:ascii="Times New Roman" w:eastAsia="新細明體" w:hAnsi="Times New Roman"/>
          <w:b/>
          <w:bCs/>
          <w:szCs w:val="20"/>
          <w:lang w:eastAsia="zh-TW"/>
        </w:rPr>
        <w:t>5</w:t>
      </w:r>
      <w:r w:rsidR="006A410C" w:rsidRPr="00696F63">
        <w:rPr>
          <w:rFonts w:ascii="Times New Roman" w:eastAsia="新細明體" w:hAnsi="Times New Roman"/>
          <w:b/>
          <w:bCs/>
          <w:szCs w:val="20"/>
          <w:lang w:eastAsia="zh-TW"/>
        </w:rPr>
        <w:t>GHz carrier frequency</w:t>
      </w:r>
      <w:r w:rsidR="00F87DD8" w:rsidRPr="00696F63">
        <w:rPr>
          <w:rFonts w:ascii="Times New Roman" w:eastAsia="新細明體" w:hAnsi="Times New Roman"/>
          <w:b/>
          <w:bCs/>
          <w:szCs w:val="20"/>
          <w:lang w:eastAsia="zh-TW"/>
        </w:rPr>
        <w:t xml:space="preserve"> and 6/8 layers</w:t>
      </w:r>
      <w:r w:rsidR="006A410C" w:rsidRPr="00696F63">
        <w:rPr>
          <w:rFonts w:ascii="Times New Roman" w:eastAsia="新細明體" w:hAnsi="Times New Roman"/>
          <w:b/>
          <w:bCs/>
          <w:szCs w:val="20"/>
          <w:lang w:eastAsia="zh-TW"/>
        </w:rPr>
        <w:t xml:space="preserve">, 60/120KHz subcarrier spacings (SCS) provide better performance (less than 1 dB gap vs. 30KHz SCS)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 xml:space="preserve">30ns and </w:t>
      </w:r>
      <w:r w:rsidR="00F87DD8" w:rsidRPr="00696F63">
        <w:rPr>
          <w:rFonts w:ascii="Times New Roman" w:eastAsia="新細明體" w:hAnsi="Times New Roman"/>
          <w:b/>
          <w:bCs/>
          <w:szCs w:val="20"/>
          <w:lang w:eastAsia="zh-TW"/>
        </w:rPr>
        <w:t>100</w:t>
      </w:r>
      <w:r w:rsidR="006A410C" w:rsidRPr="00696F63">
        <w:rPr>
          <w:rFonts w:ascii="Times New Roman" w:eastAsia="新細明體" w:hAnsi="Times New Roman"/>
          <w:b/>
          <w:bCs/>
          <w:szCs w:val="20"/>
          <w:lang w:eastAsia="zh-TW"/>
        </w:rPr>
        <w:t xml:space="preserve">ns delay spread while only 30KHz SCS are feasible (60/120KHz SCS are NOT feasible for 256/1024QAM with </w:t>
      </w:r>
      <w:r w:rsidR="00F87DD8" w:rsidRPr="00696F63">
        <w:rPr>
          <w:rFonts w:ascii="Times New Roman" w:eastAsia="新細明體" w:hAnsi="Times New Roman"/>
          <w:b/>
          <w:bCs/>
          <w:szCs w:val="20"/>
          <w:lang w:eastAsia="zh-TW"/>
        </w:rPr>
        <w:t>6/8</w:t>
      </w:r>
      <w:r w:rsidR="006A410C" w:rsidRPr="00696F63">
        <w:rPr>
          <w:rFonts w:ascii="Times New Roman" w:eastAsia="新細明體" w:hAnsi="Times New Roman"/>
          <w:b/>
          <w:bCs/>
          <w:szCs w:val="20"/>
          <w:lang w:eastAsia="zh-TW"/>
        </w:rPr>
        <w:t xml:space="preserve"> MIMO layers)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300ns delay spread.</w:t>
      </w:r>
    </w:p>
    <w:p w14:paraId="71673930" w14:textId="77777777" w:rsidR="00C45400" w:rsidRPr="00696F63" w:rsidRDefault="00C45400" w:rsidP="00C45400">
      <w:pPr>
        <w:rPr>
          <w:rFonts w:ascii="Times New Roman" w:eastAsia="新細明體" w:hAnsi="Times New Roman"/>
          <w:b/>
          <w:bCs/>
          <w:szCs w:val="20"/>
          <w:lang w:eastAsia="zh-TW"/>
        </w:rPr>
      </w:pPr>
    </w:p>
    <w:p w14:paraId="77B3D0FB" w14:textId="1BEBC745" w:rsidR="004B00FF" w:rsidRPr="00696F63" w:rsidRDefault="00452CF8" w:rsidP="00F87DD8">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C343FF">
        <w:rPr>
          <w:rFonts w:ascii="Times New Roman" w:eastAsia="新細明體" w:hAnsi="Times New Roman"/>
          <w:b/>
          <w:bCs/>
          <w:szCs w:val="20"/>
          <w:u w:val="single"/>
          <w:lang w:eastAsia="zh-TW"/>
        </w:rPr>
        <w:t>4</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For</w:t>
      </w:r>
      <w:r w:rsidR="00F87DD8" w:rsidRPr="00696F63">
        <w:rPr>
          <w:rFonts w:ascii="Times New Roman" w:eastAsia="新細明體" w:hAnsi="Times New Roman"/>
          <w:b/>
          <w:bCs/>
          <w:szCs w:val="20"/>
          <w:lang w:eastAsia="zh-TW"/>
        </w:rPr>
        <w:t xml:space="preserve"> all SCS</w:t>
      </w:r>
      <w:r w:rsidRPr="00696F63">
        <w:rPr>
          <w:rFonts w:ascii="Times New Roman" w:eastAsia="新細明體" w:hAnsi="Times New Roman"/>
          <w:b/>
          <w:bCs/>
          <w:szCs w:val="20"/>
          <w:lang w:eastAsia="zh-TW"/>
        </w:rPr>
        <w:t>,</w:t>
      </w:r>
      <w:r w:rsidR="00F87DD8" w:rsidRPr="00696F63">
        <w:rPr>
          <w:rFonts w:ascii="Times New Roman" w:eastAsia="新細明體" w:hAnsi="Times New Roman"/>
          <w:b/>
          <w:bCs/>
          <w:szCs w:val="20"/>
          <w:lang w:eastAsia="zh-TW"/>
        </w:rPr>
        <w:t xml:space="preserve"> only normal CP is supported in 6G.</w:t>
      </w:r>
    </w:p>
    <w:p w14:paraId="59C4976A" w14:textId="77777777" w:rsidR="00452CF8" w:rsidRPr="00696F63" w:rsidRDefault="00452CF8" w:rsidP="00CD1041">
      <w:pPr>
        <w:rPr>
          <w:rFonts w:ascii="Times New Roman" w:eastAsia="新細明體" w:hAnsi="Times New Roman"/>
          <w:b/>
          <w:bCs/>
          <w:szCs w:val="20"/>
          <w:u w:val="single"/>
          <w:lang w:eastAsia="zh-TW"/>
        </w:rPr>
      </w:pPr>
    </w:p>
    <w:p w14:paraId="31F317E1" w14:textId="56AA3449" w:rsidR="00C45400" w:rsidRPr="00696F63" w:rsidRDefault="00CD1041" w:rsidP="00703D4C">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C343FF">
        <w:rPr>
          <w:rFonts w:ascii="Times New Roman" w:eastAsia="新細明體" w:hAnsi="Times New Roman"/>
          <w:b/>
          <w:bCs/>
          <w:szCs w:val="20"/>
          <w:u w:val="single"/>
          <w:lang w:eastAsia="zh-TW"/>
        </w:rPr>
        <w:t>5</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w:t>
      </w:r>
      <w:r w:rsidR="00257AA7" w:rsidRPr="00696F63">
        <w:rPr>
          <w:rFonts w:ascii="Times New Roman" w:eastAsia="新細明體" w:hAnsi="Times New Roman"/>
          <w:b/>
          <w:bCs/>
          <w:szCs w:val="20"/>
          <w:lang w:eastAsia="zh-TW"/>
        </w:rPr>
        <w:t xml:space="preserve">For </w:t>
      </w:r>
      <w:r w:rsidR="00F87DD8" w:rsidRPr="00696F63">
        <w:rPr>
          <w:rFonts w:ascii="Times New Roman" w:eastAsia="新細明體" w:hAnsi="Times New Roman"/>
          <w:b/>
          <w:bCs/>
          <w:szCs w:val="20"/>
          <w:lang w:eastAsia="zh-TW"/>
        </w:rPr>
        <w:t>around</w:t>
      </w:r>
      <w:r w:rsidR="004A0FA5">
        <w:rPr>
          <w:rFonts w:ascii="Times New Roman" w:eastAsia="新細明體" w:hAnsi="Times New Roman"/>
          <w:b/>
          <w:bCs/>
          <w:szCs w:val="20"/>
          <w:lang w:eastAsia="zh-TW"/>
        </w:rPr>
        <w:t xml:space="preserve"> </w:t>
      </w:r>
      <w:r w:rsidR="00F87DD8" w:rsidRPr="00696F63">
        <w:rPr>
          <w:rFonts w:ascii="Times New Roman" w:eastAsia="新細明體" w:hAnsi="Times New Roman"/>
          <w:b/>
          <w:bCs/>
          <w:szCs w:val="20"/>
          <w:lang w:eastAsia="zh-TW"/>
        </w:rPr>
        <w:t>15GHz</w:t>
      </w:r>
      <w:r w:rsidR="00257AA7" w:rsidRPr="00696F63">
        <w:rPr>
          <w:rFonts w:ascii="Times New Roman" w:eastAsia="新細明體" w:hAnsi="Times New Roman"/>
          <w:b/>
          <w:bCs/>
          <w:szCs w:val="20"/>
          <w:lang w:eastAsia="zh-TW"/>
        </w:rPr>
        <w:t xml:space="preserve"> spectrum range, f</w:t>
      </w:r>
      <w:r w:rsidRPr="00696F63">
        <w:rPr>
          <w:rFonts w:ascii="Times New Roman" w:eastAsia="新細明體" w:hAnsi="Times New Roman"/>
          <w:b/>
          <w:bCs/>
          <w:szCs w:val="20"/>
          <w:lang w:eastAsia="zh-TW"/>
        </w:rPr>
        <w:t xml:space="preserve">urther </w:t>
      </w:r>
      <w:r w:rsidR="00811563" w:rsidRPr="00696F63">
        <w:rPr>
          <w:rFonts w:ascii="Times New Roman" w:eastAsia="新細明體" w:hAnsi="Times New Roman"/>
          <w:b/>
          <w:bCs/>
          <w:szCs w:val="20"/>
          <w:lang w:eastAsia="zh-TW"/>
        </w:rPr>
        <w:t>study</w:t>
      </w:r>
      <w:r w:rsidRPr="00696F63">
        <w:rPr>
          <w:rFonts w:ascii="Times New Roman" w:eastAsia="新細明體" w:hAnsi="Times New Roman"/>
          <w:b/>
          <w:bCs/>
          <w:szCs w:val="20"/>
          <w:lang w:eastAsia="zh-TW"/>
        </w:rPr>
        <w:t xml:space="preserve"> the</w:t>
      </w:r>
      <w:r w:rsidR="00811563" w:rsidRPr="00696F63">
        <w:rPr>
          <w:rFonts w:ascii="Times New Roman" w:eastAsia="新細明體" w:hAnsi="Times New Roman"/>
          <w:b/>
          <w:bCs/>
          <w:szCs w:val="20"/>
          <w:lang w:eastAsia="zh-TW"/>
        </w:rPr>
        <w:t xml:space="preserve"> feasibility of</w:t>
      </w:r>
      <w:r w:rsidR="00257AA7" w:rsidRPr="00696F63">
        <w:rPr>
          <w:rFonts w:ascii="Times New Roman" w:eastAsia="新細明體" w:hAnsi="Times New Roman"/>
          <w:b/>
          <w:bCs/>
          <w:szCs w:val="20"/>
          <w:lang w:eastAsia="zh-TW"/>
        </w:rPr>
        <w:t xml:space="preserve"> </w:t>
      </w:r>
      <w:r w:rsidRPr="00696F63">
        <w:rPr>
          <w:rFonts w:ascii="Times New Roman" w:eastAsia="新細明體" w:hAnsi="Times New Roman"/>
          <w:b/>
          <w:bCs/>
          <w:szCs w:val="20"/>
          <w:lang w:eastAsia="zh-TW"/>
        </w:rPr>
        <w:t xml:space="preserve">30KHz and 60KHz SCS, considering max 1024QAM with max </w:t>
      </w:r>
      <w:r w:rsidR="00061E66" w:rsidRPr="00696F63">
        <w:rPr>
          <w:rFonts w:ascii="Times New Roman" w:eastAsia="新細明體" w:hAnsi="Times New Roman"/>
          <w:b/>
          <w:bCs/>
          <w:szCs w:val="20"/>
          <w:lang w:eastAsia="zh-TW"/>
        </w:rPr>
        <w:t xml:space="preserve">6 or </w:t>
      </w:r>
      <w:r w:rsidRPr="00696F63">
        <w:rPr>
          <w:rFonts w:ascii="Times New Roman" w:eastAsia="新細明體" w:hAnsi="Times New Roman"/>
          <w:b/>
          <w:bCs/>
          <w:szCs w:val="20"/>
          <w:lang w:eastAsia="zh-TW"/>
        </w:rPr>
        <w:t>8 MIMO layers, UE speed 3/</w:t>
      </w:r>
      <w:r w:rsidR="00F87DD8" w:rsidRPr="00696F63">
        <w:rPr>
          <w:rFonts w:ascii="Times New Roman" w:eastAsia="新細明體" w:hAnsi="Times New Roman"/>
          <w:b/>
          <w:bCs/>
          <w:szCs w:val="20"/>
          <w:lang w:eastAsia="zh-TW"/>
        </w:rPr>
        <w:t>30/</w:t>
      </w:r>
      <w:r w:rsidRPr="00696F63">
        <w:rPr>
          <w:rFonts w:ascii="Times New Roman" w:eastAsia="新細明體" w:hAnsi="Times New Roman"/>
          <w:b/>
          <w:bCs/>
          <w:szCs w:val="20"/>
          <w:lang w:eastAsia="zh-TW"/>
        </w:rPr>
        <w:t xml:space="preserve">60/120 km/hr and </w:t>
      </w:r>
      <w:r w:rsidR="00F87DD8" w:rsidRPr="00696F63">
        <w:rPr>
          <w:rFonts w:ascii="Times New Roman" w:eastAsia="新細明體" w:hAnsi="Times New Roman"/>
          <w:b/>
          <w:bCs/>
          <w:szCs w:val="20"/>
          <w:lang w:eastAsia="zh-TW"/>
        </w:rPr>
        <w:t xml:space="preserve">30/100/300 ns </w:t>
      </w:r>
      <w:r w:rsidRPr="00696F63">
        <w:rPr>
          <w:rFonts w:ascii="Times New Roman" w:eastAsia="新細明體" w:hAnsi="Times New Roman"/>
          <w:b/>
          <w:bCs/>
          <w:szCs w:val="20"/>
          <w:lang w:eastAsia="zh-TW"/>
        </w:rPr>
        <w:t>delay spread</w:t>
      </w:r>
      <w:r w:rsidR="00AF1F2C" w:rsidRPr="00696F63">
        <w:rPr>
          <w:rFonts w:ascii="Times New Roman" w:eastAsia="新細明體" w:hAnsi="Times New Roman"/>
          <w:b/>
          <w:bCs/>
          <w:szCs w:val="20"/>
          <w:lang w:eastAsia="zh-TW"/>
        </w:rPr>
        <w:t xml:space="preserve"> of indoor and outdoor scenarios</w:t>
      </w:r>
      <w:r w:rsidR="00F87DD8" w:rsidRPr="00696F63">
        <w:rPr>
          <w:rFonts w:ascii="Times New Roman" w:eastAsia="新細明體" w:hAnsi="Times New Roman"/>
          <w:b/>
          <w:bCs/>
          <w:szCs w:val="20"/>
          <w:lang w:eastAsia="zh-TW"/>
        </w:rPr>
        <w:t xml:space="preserve"> (30kHz is slightly preferred by us here).</w:t>
      </w:r>
    </w:p>
    <w:p w14:paraId="0C9422C5" w14:textId="77777777" w:rsidR="00703D4C" w:rsidRPr="00696F63" w:rsidRDefault="00703D4C" w:rsidP="00703D4C">
      <w:pPr>
        <w:rPr>
          <w:rFonts w:ascii="Times New Roman" w:eastAsia="新細明體" w:hAnsi="Times New Roman"/>
          <w:b/>
          <w:bCs/>
          <w:szCs w:val="20"/>
          <w:lang w:eastAsia="zh-TW"/>
        </w:rPr>
      </w:pPr>
    </w:p>
    <w:p w14:paraId="4000F720" w14:textId="2C89B037" w:rsidR="0092684C" w:rsidRPr="00696F63" w:rsidRDefault="0092684C" w:rsidP="0092684C">
      <w:pPr>
        <w:pStyle w:val="2"/>
        <w:rPr>
          <w:rFonts w:ascii="Arial" w:hAnsi="Arial" w:cs="Arial"/>
          <w:color w:val="auto"/>
        </w:rPr>
      </w:pPr>
      <w:r w:rsidRPr="00696F63">
        <w:rPr>
          <w:rFonts w:ascii="Arial" w:hAnsi="Arial" w:cs="Arial"/>
          <w:color w:val="auto"/>
        </w:rPr>
        <w:t xml:space="preserve">2.3 </w:t>
      </w:r>
      <w:r w:rsidR="004E34C7" w:rsidRPr="004E34C7">
        <w:rPr>
          <w:rFonts w:ascii="Arial" w:hAnsi="Arial" w:cs="Arial"/>
          <w:color w:val="auto"/>
        </w:rPr>
        <w:t>Support for 400 MHz of contiguous bandwidth around 7GHz using UE CBW 200 MHz</w:t>
      </w:r>
    </w:p>
    <w:p w14:paraId="001551A2" w14:textId="77777777" w:rsidR="0092684C" w:rsidRPr="00696F63" w:rsidRDefault="0092684C" w:rsidP="0092684C">
      <w:pPr>
        <w:rPr>
          <w:rFonts w:eastAsiaTheme="minorEastAsia"/>
          <w:lang w:eastAsia="zh-TW"/>
        </w:rPr>
      </w:pPr>
    </w:p>
    <w:p w14:paraId="48E3B68B" w14:textId="593A981E" w:rsidR="004E34C7" w:rsidRDefault="004E34C7" w:rsidP="004E34C7">
      <w:pPr>
        <w:jc w:val="both"/>
        <w:rPr>
          <w:rFonts w:ascii="Times New Roman" w:eastAsiaTheme="minorEastAsia" w:hAnsi="Times New Roman"/>
          <w:lang w:eastAsia="zh-TW"/>
        </w:rPr>
      </w:pPr>
      <w:r>
        <w:rPr>
          <w:rFonts w:ascii="Times New Roman" w:eastAsiaTheme="minorEastAsia" w:hAnsi="Times New Roman"/>
          <w:lang w:eastAsia="zh-TW"/>
        </w:rPr>
        <w:t>In RAN1 #122bis, it was agreed that a 400 MHz maximum CBW is assumed by the network. At the UE, whether and how to support 400 MHz bandwidth is FFS. As proposed in Section 2.1, we support a 200 MHz maximum UE CBW because it offers lower cost (e.g., an 8K FFT</w:t>
      </w:r>
      <w:r w:rsidR="00D713B6">
        <w:rPr>
          <w:rFonts w:ascii="Times New Roman" w:eastAsiaTheme="minorEastAsia" w:hAnsi="Times New Roman"/>
          <w:lang w:eastAsia="zh-TW"/>
        </w:rPr>
        <w:t xml:space="preserve"> size</w:t>
      </w:r>
      <w:r>
        <w:rPr>
          <w:rFonts w:ascii="Times New Roman" w:eastAsiaTheme="minorEastAsia" w:hAnsi="Times New Roman"/>
          <w:lang w:eastAsia="zh-TW"/>
        </w:rPr>
        <w:t xml:space="preserve"> is feasible given an SCS of 30 kHz), lower implementation complexity (e.g., simpler filter design), and higher maximum attainable SNR (e.g., smaller frequency</w:t>
      </w:r>
      <w:r>
        <w:rPr>
          <w:rFonts w:ascii="Times New Roman" w:eastAsiaTheme="minorEastAsia" w:hAnsi="Times New Roman"/>
          <w:lang w:eastAsia="zh-TW"/>
        </w:rPr>
        <w:noBreakHyphen/>
        <w:t>response ripple or gain droop) compared with a 400 MHz maximum UE CBW.</w:t>
      </w:r>
    </w:p>
    <w:p w14:paraId="62DECFDB" w14:textId="77777777" w:rsidR="004E34C7" w:rsidRDefault="004E34C7" w:rsidP="004E34C7">
      <w:pPr>
        <w:rPr>
          <w:rFonts w:eastAsiaTheme="minorEastAsia"/>
          <w:szCs w:val="20"/>
          <w:lang w:eastAsia="zh-TW"/>
        </w:rPr>
      </w:pPr>
    </w:p>
    <w:p w14:paraId="18D8EAD7" w14:textId="77777777" w:rsidR="004E34C7" w:rsidRDefault="004E34C7" w:rsidP="004E34C7">
      <w:pPr>
        <w:rPr>
          <w:rFonts w:eastAsiaTheme="minorEastAsia"/>
          <w:szCs w:val="20"/>
          <w:lang w:eastAsia="zh-TW"/>
        </w:rPr>
      </w:pPr>
      <w:r>
        <w:rPr>
          <w:rFonts w:eastAsiaTheme="minorEastAsia"/>
          <w:szCs w:val="20"/>
          <w:lang w:eastAsia="zh-TW"/>
        </w:rPr>
        <w:t>Given a 200 MHz UE CBW, to support 400 MHz of contiguous bandwidth around 7 GHz, the following approaches can be used:</w:t>
      </w:r>
    </w:p>
    <w:p w14:paraId="54B5EB42" w14:textId="77777777" w:rsidR="004E34C7" w:rsidRDefault="004E34C7" w:rsidP="004E34C7">
      <w:pPr>
        <w:pStyle w:val="a8"/>
        <w:numPr>
          <w:ilvl w:val="0"/>
          <w:numId w:val="37"/>
        </w:numPr>
        <w:ind w:leftChars="0"/>
        <w:jc w:val="both"/>
        <w:rPr>
          <w:rFonts w:ascii="Times New Roman" w:eastAsiaTheme="minorEastAsia" w:hAnsi="Times New Roman"/>
          <w:szCs w:val="20"/>
          <w:lang w:eastAsia="zh-TW"/>
        </w:rPr>
      </w:pPr>
      <w:r>
        <w:rPr>
          <w:rFonts w:ascii="Times New Roman" w:eastAsiaTheme="minorEastAsia" w:hAnsi="Times New Roman"/>
          <w:szCs w:val="20"/>
          <w:lang w:eastAsia="zh-TW"/>
        </w:rPr>
        <w:t>Alternative 1 (A1 in Figure 10): two 200 MHz PHY carriers configured as two logical cells (legacy CA)</w:t>
      </w:r>
    </w:p>
    <w:p w14:paraId="620F22CF" w14:textId="77777777" w:rsidR="004E34C7" w:rsidRDefault="004E34C7" w:rsidP="004E34C7">
      <w:pPr>
        <w:pStyle w:val="a8"/>
        <w:numPr>
          <w:ilvl w:val="0"/>
          <w:numId w:val="37"/>
        </w:numPr>
        <w:ind w:leftChars="0"/>
        <w:jc w:val="both"/>
        <w:rPr>
          <w:rFonts w:ascii="Times New Roman" w:eastAsiaTheme="minorEastAsia" w:hAnsi="Times New Roman"/>
          <w:szCs w:val="20"/>
          <w:lang w:eastAsia="zh-TW"/>
        </w:rPr>
      </w:pPr>
      <w:r>
        <w:rPr>
          <w:rFonts w:ascii="Times New Roman" w:eastAsiaTheme="minorEastAsia" w:hAnsi="Times New Roman"/>
          <w:szCs w:val="20"/>
          <w:lang w:eastAsia="zh-TW"/>
        </w:rPr>
        <w:t>Alternative 2 (A2 in Figure 10): two 200 MHz PHY carriers aggregated into one logical cell (multi-carrier cell)</w:t>
      </w:r>
    </w:p>
    <w:p w14:paraId="79B74540" w14:textId="77777777" w:rsidR="004E34C7" w:rsidRDefault="004E34C7" w:rsidP="004E34C7">
      <w:pPr>
        <w:jc w:val="both"/>
        <w:rPr>
          <w:rFonts w:ascii="Times New Roman" w:eastAsiaTheme="minorEastAsia" w:hAnsi="Times New Roman"/>
          <w:lang w:eastAsia="zh-TW"/>
        </w:rPr>
      </w:pPr>
    </w:p>
    <w:p w14:paraId="27E776F5" w14:textId="77777777" w:rsidR="00190AD9" w:rsidRDefault="004E34C7" w:rsidP="004E34C7">
      <w:pPr>
        <w:jc w:val="both"/>
        <w:rPr>
          <w:rFonts w:ascii="Times New Roman" w:eastAsiaTheme="minorEastAsia" w:hAnsi="Times New Roman"/>
          <w:lang w:eastAsia="zh-TW"/>
        </w:rPr>
      </w:pPr>
      <w:r>
        <w:rPr>
          <w:rFonts w:ascii="Times New Roman" w:eastAsiaTheme="minorEastAsia" w:hAnsi="Times New Roman"/>
          <w:lang w:eastAsia="zh-TW"/>
        </w:rPr>
        <w:t>Both A1 and A2 are scalable and forward</w:t>
      </w:r>
      <w:r>
        <w:rPr>
          <w:rFonts w:ascii="Times New Roman" w:eastAsiaTheme="minorEastAsia" w:hAnsi="Times New Roman"/>
          <w:lang w:eastAsia="zh-TW"/>
        </w:rPr>
        <w:noBreakHyphen/>
        <w:t>compatible approaches to support contiguous bandwidth larger than a single</w:t>
      </w:r>
      <w:r>
        <w:rPr>
          <w:rFonts w:ascii="Times New Roman" w:eastAsiaTheme="minorEastAsia" w:hAnsi="Times New Roman"/>
          <w:lang w:eastAsia="zh-TW"/>
        </w:rPr>
        <w:noBreakHyphen/>
        <w:t>carrier FFT allows (e.g., &gt;200 MHz such as 400 MHz, 600 MHz, etc.) without changing the maximum UE CBW definition, and they avoid the implementation and cost penalties of an ultra</w:t>
      </w:r>
      <w:r>
        <w:rPr>
          <w:rFonts w:ascii="Times New Roman" w:eastAsiaTheme="minorEastAsia" w:hAnsi="Times New Roman"/>
          <w:lang w:eastAsia="zh-TW"/>
        </w:rPr>
        <w:noBreakHyphen/>
        <w:t xml:space="preserve">wide single carrier. They are also flexible in supporting asymmetric total bandwidths for DL and UL (e.g., 400 MHz DL and 200 MHz UL). </w:t>
      </w:r>
    </w:p>
    <w:p w14:paraId="1703B62E" w14:textId="77777777" w:rsidR="00190AD9" w:rsidRDefault="00190AD9" w:rsidP="004E34C7">
      <w:pPr>
        <w:jc w:val="both"/>
        <w:rPr>
          <w:rFonts w:ascii="Times New Roman" w:eastAsiaTheme="minorEastAsia" w:hAnsi="Times New Roman"/>
          <w:lang w:eastAsia="zh-TW"/>
        </w:rPr>
      </w:pPr>
    </w:p>
    <w:p w14:paraId="06E8913A" w14:textId="72501A5C" w:rsidR="004E34C7" w:rsidRDefault="004E34C7" w:rsidP="004E34C7">
      <w:pPr>
        <w:jc w:val="both"/>
        <w:rPr>
          <w:rFonts w:ascii="Times New Roman" w:eastAsiaTheme="minorEastAsia" w:hAnsi="Times New Roman"/>
          <w:lang w:eastAsia="zh-TW"/>
        </w:rPr>
      </w:pPr>
      <w:r>
        <w:rPr>
          <w:rFonts w:ascii="Times New Roman" w:eastAsiaTheme="minorEastAsia" w:hAnsi="Times New Roman"/>
          <w:lang w:eastAsia="zh-TW"/>
        </w:rPr>
        <w:t>While both A1 and A2 support carrier aggregation, A2 which aggregates multiple carriers into a single logical cell is more efficient for aggregating contiguous or intra</w:t>
      </w:r>
      <w:r>
        <w:rPr>
          <w:rFonts w:ascii="Times New Roman" w:eastAsiaTheme="minorEastAsia" w:hAnsi="Times New Roman"/>
          <w:lang w:eastAsia="zh-TW"/>
        </w:rPr>
        <w:noBreakHyphen/>
        <w:t xml:space="preserve">band carriers because it avoids many pain points of the legacy CA framework and achieves better scheduling efficiency. </w:t>
      </w:r>
      <w:r w:rsidR="00190AD9">
        <w:rPr>
          <w:rFonts w:ascii="Times New Roman" w:eastAsiaTheme="minorEastAsia" w:hAnsi="Times New Roman"/>
          <w:lang w:eastAsia="zh-TW"/>
        </w:rPr>
        <w:t xml:space="preserve">Moreover, compared to legacy CA framework, A2 can achieve faster BW adaptation/carrier activation/deactivation by avoiding the slow </w:t>
      </w:r>
      <w:proofErr w:type="spellStart"/>
      <w:r w:rsidR="00190AD9">
        <w:rPr>
          <w:rFonts w:ascii="Times New Roman" w:eastAsiaTheme="minorEastAsia" w:hAnsi="Times New Roman"/>
          <w:lang w:eastAsia="zh-TW"/>
        </w:rPr>
        <w:t>SCell</w:t>
      </w:r>
      <w:proofErr w:type="spellEnd"/>
      <w:r w:rsidR="00190AD9">
        <w:rPr>
          <w:rFonts w:ascii="Times New Roman" w:eastAsiaTheme="minorEastAsia" w:hAnsi="Times New Roman"/>
          <w:lang w:eastAsia="zh-TW"/>
        </w:rPr>
        <w:t xml:space="preserve"> activation/deactivation procedure. </w:t>
      </w:r>
      <w:r>
        <w:rPr>
          <w:rFonts w:ascii="Times New Roman" w:eastAsiaTheme="minorEastAsia" w:hAnsi="Times New Roman"/>
          <w:lang w:eastAsia="zh-TW"/>
        </w:rPr>
        <w:t>More details about A2 are provided in the Appendix.</w:t>
      </w:r>
    </w:p>
    <w:p w14:paraId="231823FB" w14:textId="77777777" w:rsidR="004E34C7" w:rsidRDefault="004E34C7" w:rsidP="004E34C7">
      <w:pPr>
        <w:jc w:val="both"/>
        <w:rPr>
          <w:rFonts w:ascii="Times New Roman" w:eastAsiaTheme="minorEastAsia" w:hAnsi="Times New Roman"/>
          <w:lang w:eastAsia="zh-TW"/>
        </w:rPr>
      </w:pPr>
    </w:p>
    <w:p w14:paraId="702919B7" w14:textId="5312837D" w:rsidR="004E34C7" w:rsidRDefault="004E34C7" w:rsidP="004E34C7">
      <w:pPr>
        <w:rPr>
          <w:rFonts w:ascii="Times New Roman" w:eastAsiaTheme="minorEastAsia" w:hAnsi="Times New Roman"/>
          <w:b/>
          <w:bCs/>
          <w:lang w:eastAsia="zh-TW"/>
        </w:rPr>
      </w:pPr>
      <w:r w:rsidRPr="004E34C7">
        <w:rPr>
          <w:rFonts w:ascii="Times New Roman" w:eastAsiaTheme="minorEastAsia" w:hAnsi="Times New Roman"/>
          <w:b/>
          <w:bCs/>
          <w:u w:val="single"/>
          <w:lang w:eastAsia="zh-TW"/>
        </w:rPr>
        <w:t>Observation 4</w:t>
      </w:r>
      <w:r>
        <w:rPr>
          <w:rFonts w:ascii="Times New Roman" w:eastAsiaTheme="minorEastAsia" w:hAnsi="Times New Roman"/>
          <w:b/>
          <w:bCs/>
          <w:lang w:eastAsia="zh-TW"/>
        </w:rPr>
        <w:t xml:space="preserve">: Both A1 (legacy CA) and A2 (multi-carrier cell) are scalable and forward-compatible approaches to support contiguous bandwidth larger than the maximum UE CBW (e.g., &gt;200 MHz such as 400 MHz, 600 MHz or larger). </w:t>
      </w:r>
      <w:r>
        <w:rPr>
          <w:rFonts w:ascii="Times New Roman" w:eastAsia="新細明體" w:hAnsi="Times New Roman"/>
          <w:b/>
          <w:bCs/>
          <w:szCs w:val="20"/>
          <w:lang w:eastAsia="zh-TW"/>
        </w:rPr>
        <w:t xml:space="preserve">They simplify global deployment across regions with different contiguous allocations. </w:t>
      </w:r>
      <w:r>
        <w:rPr>
          <w:rFonts w:ascii="Times New Roman" w:eastAsiaTheme="minorEastAsia" w:hAnsi="Times New Roman"/>
          <w:b/>
          <w:bCs/>
          <w:lang w:eastAsia="zh-TW"/>
        </w:rPr>
        <w:t>For supporting 400 MHz contiguous bandwidth, A1 or A2 can achieve lower implementation cost/complexity and higher maximum attainable SNR than a single RF chain supporting an ultra-wide carrier.</w:t>
      </w:r>
    </w:p>
    <w:p w14:paraId="73CC70E5" w14:textId="77777777" w:rsidR="004E34C7" w:rsidRDefault="004E34C7" w:rsidP="004E34C7">
      <w:pPr>
        <w:rPr>
          <w:rFonts w:ascii="Times New Roman" w:eastAsiaTheme="minorEastAsia" w:hAnsi="Times New Roman"/>
          <w:b/>
          <w:bCs/>
          <w:lang w:eastAsia="zh-TW"/>
        </w:rPr>
      </w:pPr>
    </w:p>
    <w:p w14:paraId="0514054B" w14:textId="7511DF8F" w:rsidR="004E34C7" w:rsidRDefault="004E34C7" w:rsidP="004E34C7">
      <w:pPr>
        <w:rPr>
          <w:rFonts w:ascii="Times New Roman" w:eastAsiaTheme="minorEastAsia" w:hAnsi="Times New Roman"/>
          <w:b/>
          <w:bCs/>
          <w:lang w:eastAsia="zh-TW"/>
        </w:rPr>
      </w:pPr>
      <w:r w:rsidRPr="004E34C7">
        <w:rPr>
          <w:rFonts w:ascii="Times New Roman" w:eastAsiaTheme="minorEastAsia" w:hAnsi="Times New Roman"/>
          <w:b/>
          <w:bCs/>
          <w:u w:val="single"/>
          <w:lang w:eastAsia="zh-TW"/>
        </w:rPr>
        <w:t>Observation 5</w:t>
      </w:r>
      <w:r>
        <w:rPr>
          <w:rFonts w:ascii="Times New Roman" w:eastAsiaTheme="minorEastAsia" w:hAnsi="Times New Roman"/>
          <w:b/>
          <w:bCs/>
          <w:lang w:eastAsia="zh-TW"/>
        </w:rPr>
        <w:t xml:space="preserve">: </w:t>
      </w:r>
      <w:r w:rsidR="00190AD9">
        <w:rPr>
          <w:rFonts w:ascii="Times New Roman" w:eastAsiaTheme="minorEastAsia" w:hAnsi="Times New Roman"/>
          <w:b/>
          <w:bCs/>
          <w:lang w:eastAsia="zh-TW"/>
        </w:rPr>
        <w:t xml:space="preserve">A2 which aggregates multiple carriers into a single logical cell is more efficient than the legacy CA framework and reduces RRC signalling and DL control overhead. It also enables more efficient and faster BW adaptation/carrier activation/deactivation than legacy CA by avoiding the slow </w:t>
      </w:r>
      <w:proofErr w:type="spellStart"/>
      <w:r w:rsidR="00190AD9">
        <w:rPr>
          <w:rFonts w:ascii="Times New Roman" w:eastAsiaTheme="minorEastAsia" w:hAnsi="Times New Roman"/>
          <w:b/>
          <w:bCs/>
          <w:lang w:eastAsia="zh-TW"/>
        </w:rPr>
        <w:t>SCell</w:t>
      </w:r>
      <w:proofErr w:type="spellEnd"/>
      <w:r w:rsidR="00190AD9">
        <w:rPr>
          <w:rFonts w:ascii="Times New Roman" w:eastAsiaTheme="minorEastAsia" w:hAnsi="Times New Roman"/>
          <w:b/>
          <w:bCs/>
          <w:lang w:eastAsia="zh-TW"/>
        </w:rPr>
        <w:t xml:space="preserve"> activation/deactivation procedure. More details about A2 are provided in Appendix.</w:t>
      </w:r>
    </w:p>
    <w:p w14:paraId="6C1BCAB6" w14:textId="77777777" w:rsidR="004E34C7" w:rsidRDefault="004E34C7" w:rsidP="004E34C7">
      <w:pPr>
        <w:jc w:val="both"/>
        <w:rPr>
          <w:rFonts w:ascii="Times New Roman" w:eastAsiaTheme="minorEastAsia" w:hAnsi="Times New Roman"/>
          <w:lang w:eastAsia="zh-TW"/>
        </w:rPr>
      </w:pPr>
    </w:p>
    <w:p w14:paraId="013C985D" w14:textId="77777777" w:rsidR="004E34C7" w:rsidRDefault="004E34C7" w:rsidP="004E34C7">
      <w:pPr>
        <w:jc w:val="both"/>
        <w:rPr>
          <w:rFonts w:ascii="Times New Roman" w:eastAsiaTheme="minorEastAsia" w:hAnsi="Times New Roman"/>
          <w:lang w:eastAsia="zh-TW"/>
        </w:rPr>
      </w:pPr>
      <w:r>
        <w:rPr>
          <w:rFonts w:ascii="Times New Roman" w:eastAsiaTheme="minorEastAsia" w:hAnsi="Times New Roman"/>
          <w:lang w:eastAsia="zh-TW"/>
        </w:rPr>
        <w:t>One argument against using A1 or A2 to support 400 MHz contiguous bandwidth is that spectrum utilization might be slightly better if the contiguous bandwidth is treated as a single carrier. However, the difference is marginal. To further improve spectrum utilization when aggregating two contiguous carriers, RAN4 could study guard band reduction by relaxing ACLR/SEM requirements. Because changes to A1 could affect and complicate legacy CA requirements, such a guard band study may be simpler and more feasible to apply to A2.</w:t>
      </w:r>
    </w:p>
    <w:p w14:paraId="0CADDF29" w14:textId="77777777" w:rsidR="004E34C7" w:rsidRDefault="004E34C7" w:rsidP="004E34C7">
      <w:pPr>
        <w:rPr>
          <w:rFonts w:eastAsiaTheme="minorEastAsia"/>
          <w:lang w:eastAsia="zh-TW"/>
        </w:rPr>
      </w:pPr>
    </w:p>
    <w:p w14:paraId="0556E44B" w14:textId="43965495" w:rsidR="004E34C7" w:rsidRDefault="004E34C7" w:rsidP="004E34C7">
      <w:pPr>
        <w:jc w:val="center"/>
        <w:rPr>
          <w:rFonts w:eastAsiaTheme="minorEastAsia"/>
          <w:lang w:eastAsia="zh-TW"/>
        </w:rPr>
      </w:pPr>
      <w:r>
        <w:rPr>
          <w:rFonts w:eastAsiaTheme="minorEastAsia"/>
          <w:noProof/>
          <w:lang w:eastAsia="zh-TW"/>
        </w:rPr>
        <w:drawing>
          <wp:inline distT="0" distB="0" distL="0" distR="0" wp14:anchorId="1EEB6DE5" wp14:editId="01E636CD">
            <wp:extent cx="5655310" cy="900430"/>
            <wp:effectExtent l="0" t="0" r="254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55310" cy="900430"/>
                    </a:xfrm>
                    <a:prstGeom prst="rect">
                      <a:avLst/>
                    </a:prstGeom>
                    <a:noFill/>
                    <a:ln>
                      <a:noFill/>
                    </a:ln>
                  </pic:spPr>
                </pic:pic>
              </a:graphicData>
            </a:graphic>
          </wp:inline>
        </w:drawing>
      </w:r>
    </w:p>
    <w:p w14:paraId="7180B94B" w14:textId="77777777" w:rsidR="004E34C7" w:rsidRDefault="004E34C7" w:rsidP="004E34C7">
      <w:pPr>
        <w:jc w:val="center"/>
        <w:rPr>
          <w:rFonts w:eastAsiaTheme="minorEastAsia"/>
          <w:lang w:eastAsia="zh-TW"/>
        </w:rPr>
      </w:pPr>
    </w:p>
    <w:p w14:paraId="72516299" w14:textId="77777777" w:rsidR="004E34C7" w:rsidRDefault="004E34C7" w:rsidP="004E34C7">
      <w:pPr>
        <w:pStyle w:val="af7"/>
        <w:jc w:val="center"/>
        <w:rPr>
          <w:rFonts w:ascii="Times New Roman" w:eastAsia="新細明體" w:hAnsi="Times New Roman"/>
          <w:b/>
          <w:bCs/>
          <w:lang w:eastAsia="zh-TW"/>
        </w:rPr>
      </w:pPr>
      <w:r>
        <w:rPr>
          <w:b/>
          <w:bCs/>
        </w:rPr>
        <w:t>Figure 10</w:t>
      </w:r>
      <w:r>
        <w:rPr>
          <w:rFonts w:ascii="Times New Roman" w:eastAsia="新細明體" w:hAnsi="Times New Roman"/>
          <w:b/>
          <w:bCs/>
          <w:lang w:eastAsia="zh-TW"/>
        </w:rPr>
        <w:t>. Approaches to support contiguous 400 MHz bandwidth using 200 MHz UE CBW</w:t>
      </w:r>
    </w:p>
    <w:p w14:paraId="3619D2A5" w14:textId="77777777" w:rsidR="004E34C7" w:rsidRDefault="004E34C7" w:rsidP="004E34C7">
      <w:pPr>
        <w:rPr>
          <w:rFonts w:ascii="Times New Roman" w:eastAsia="新細明體" w:hAnsi="Times New Roman"/>
          <w:b/>
          <w:bCs/>
          <w:szCs w:val="20"/>
          <w:lang w:eastAsia="zh-TW"/>
        </w:rPr>
      </w:pPr>
    </w:p>
    <w:p w14:paraId="17B2DDA2" w14:textId="1E9F038D" w:rsidR="004E34C7" w:rsidRDefault="004E34C7" w:rsidP="004E34C7">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6:</w:t>
      </w:r>
      <w:r>
        <w:rPr>
          <w:rFonts w:ascii="Times New Roman" w:eastAsia="新細明體" w:hAnsi="Times New Roman"/>
          <w:b/>
          <w:bCs/>
          <w:szCs w:val="20"/>
          <w:lang w:eastAsia="zh-TW"/>
        </w:rPr>
        <w:t xml:space="preserve"> RAN1 to study multi</w:t>
      </w:r>
      <w:r>
        <w:rPr>
          <w:rFonts w:ascii="Times New Roman" w:eastAsia="新細明體" w:hAnsi="Times New Roman"/>
          <w:b/>
          <w:bCs/>
          <w:szCs w:val="20"/>
          <w:lang w:eastAsia="zh-TW"/>
        </w:rPr>
        <w:noBreakHyphen/>
        <w:t>carrier cell solution to support contiguous spectrum &gt;200 MHz around 7</w:t>
      </w:r>
      <w:r w:rsidR="00A2167E">
        <w:rPr>
          <w:rFonts w:ascii="Times New Roman" w:eastAsia="新細明體" w:hAnsi="Times New Roman"/>
          <w:b/>
          <w:bCs/>
          <w:szCs w:val="20"/>
          <w:lang w:eastAsia="zh-TW"/>
        </w:rPr>
        <w:t xml:space="preserve"> </w:t>
      </w:r>
      <w:r>
        <w:rPr>
          <w:rFonts w:ascii="Times New Roman" w:eastAsia="新細明體" w:hAnsi="Times New Roman"/>
          <w:b/>
          <w:bCs/>
          <w:szCs w:val="20"/>
          <w:lang w:eastAsia="zh-TW"/>
        </w:rPr>
        <w:t xml:space="preserve">GHz </w:t>
      </w:r>
      <w:r w:rsidR="00A2167E">
        <w:rPr>
          <w:rFonts w:ascii="Times New Roman" w:eastAsia="新細明體" w:hAnsi="Times New Roman"/>
          <w:b/>
          <w:bCs/>
          <w:szCs w:val="20"/>
          <w:lang w:eastAsia="zh-TW"/>
        </w:rPr>
        <w:t>for UE</w:t>
      </w:r>
      <w:r>
        <w:rPr>
          <w:rFonts w:ascii="Times New Roman" w:eastAsia="新細明體" w:hAnsi="Times New Roman"/>
          <w:b/>
          <w:bCs/>
          <w:szCs w:val="20"/>
          <w:lang w:eastAsia="zh-TW"/>
        </w:rPr>
        <w:t>.</w:t>
      </w:r>
    </w:p>
    <w:p w14:paraId="43ED5396" w14:textId="77777777" w:rsidR="004E34C7" w:rsidRDefault="004E34C7" w:rsidP="004E34C7">
      <w:pPr>
        <w:rPr>
          <w:rFonts w:ascii="Times New Roman" w:eastAsia="新細明體" w:hAnsi="Times New Roman"/>
          <w:b/>
          <w:bCs/>
          <w:szCs w:val="20"/>
          <w:lang w:eastAsia="zh-TW"/>
        </w:rPr>
      </w:pPr>
    </w:p>
    <w:p w14:paraId="2749EB00" w14:textId="002B06F4" w:rsidR="000D0D58" w:rsidRDefault="004E34C7" w:rsidP="004E34C7">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w:t>
      </w:r>
      <w:r>
        <w:rPr>
          <w:b/>
          <w:bCs/>
        </w:rPr>
        <w:t xml:space="preserve">RAN4 to further study potential guard band reduction if multiple </w:t>
      </w:r>
      <w:r w:rsidR="00D20A6A">
        <w:rPr>
          <w:b/>
          <w:bCs/>
        </w:rPr>
        <w:t xml:space="preserve">contiguous </w:t>
      </w:r>
      <w:r>
        <w:rPr>
          <w:b/>
          <w:bCs/>
        </w:rPr>
        <w:t>carriers can be aggregated in</w:t>
      </w:r>
      <w:r w:rsidR="00D20A6A">
        <w:rPr>
          <w:b/>
          <w:bCs/>
        </w:rPr>
        <w:t>to</w:t>
      </w:r>
      <w:r>
        <w:rPr>
          <w:b/>
          <w:bCs/>
        </w:rPr>
        <w:t xml:space="preserve"> </w:t>
      </w:r>
      <w:r w:rsidR="00D20A6A">
        <w:rPr>
          <w:b/>
          <w:bCs/>
        </w:rPr>
        <w:t>a</w:t>
      </w:r>
      <w:r>
        <w:rPr>
          <w:b/>
          <w:bCs/>
        </w:rPr>
        <w:t xml:space="preserve"> single cell.</w:t>
      </w:r>
    </w:p>
    <w:p w14:paraId="222C2AFB" w14:textId="77777777" w:rsidR="0092684C" w:rsidRPr="000D0D58" w:rsidRDefault="0092684C" w:rsidP="00703D4C">
      <w:pPr>
        <w:rPr>
          <w:rFonts w:ascii="Times New Roman" w:eastAsia="新細明體" w:hAnsi="Times New Roman"/>
          <w:b/>
          <w:bCs/>
          <w:szCs w:val="20"/>
          <w:lang w:eastAsia="zh-TW"/>
        </w:rPr>
      </w:pPr>
    </w:p>
    <w:p w14:paraId="560501CA" w14:textId="577E4AAB" w:rsidR="00703D4C" w:rsidRPr="00696F63" w:rsidRDefault="006D3AA9" w:rsidP="005E5B2F">
      <w:pPr>
        <w:pStyle w:val="1"/>
        <w:numPr>
          <w:ilvl w:val="0"/>
          <w:numId w:val="1"/>
        </w:numPr>
        <w:pBdr>
          <w:top w:val="single" w:sz="12" w:space="3" w:color="auto"/>
        </w:pBdr>
        <w:spacing w:after="180"/>
        <w:rPr>
          <w:rFonts w:ascii="Arial" w:hAnsi="Arial" w:cs="Arial"/>
          <w:color w:val="000000"/>
          <w:sz w:val="36"/>
          <w:szCs w:val="36"/>
        </w:rPr>
      </w:pPr>
      <w:bookmarkStart w:id="9" w:name="OLE_LINK111"/>
      <w:r w:rsidRPr="00696F63">
        <w:rPr>
          <w:rFonts w:ascii="Arial" w:hAnsi="Arial" w:cs="Arial"/>
          <w:color w:val="000000"/>
          <w:sz w:val="36"/>
          <w:szCs w:val="36"/>
          <w:lang w:eastAsia="zh-TW"/>
        </w:rPr>
        <w:t>Discussion on Frame Structure</w:t>
      </w:r>
    </w:p>
    <w:p w14:paraId="60FAC894" w14:textId="77777777" w:rsidR="002D46AF" w:rsidRPr="00696F63" w:rsidRDefault="002D46AF" w:rsidP="002D46AF">
      <w:pPr>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In NR, a slot serves two key roles:</w:t>
      </w:r>
    </w:p>
    <w:p w14:paraId="0FEDCACF" w14:textId="77777777" w:rsidR="002D46AF" w:rsidRPr="00696F63" w:rsidRDefault="002D46AF" w:rsidP="002D46AF">
      <w:pPr>
        <w:pStyle w:val="a8"/>
        <w:numPr>
          <w:ilvl w:val="0"/>
          <w:numId w:val="1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Logical-unit reference for resource allocation, UE capability, and other features. For example:</w:t>
      </w:r>
    </w:p>
    <w:p w14:paraId="308A1009" w14:textId="77777777" w:rsidR="002D46AF" w:rsidRPr="00696F63"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PDCCH monitoring BDs and the limit on non-overlapped #CCEs are defined per slot.</w:t>
      </w:r>
    </w:p>
    <w:p w14:paraId="3B9602E2" w14:textId="77777777" w:rsidR="002D46AF" w:rsidRPr="00696F63"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HARQ-ACK codebook construction is slot-based, where HARQ-ACK PUCCHs within a slot </w:t>
      </w:r>
      <w:proofErr w:type="gramStart"/>
      <w:r w:rsidRPr="00696F63">
        <w:rPr>
          <w:rFonts w:ascii="Times New Roman" w:eastAsiaTheme="minorEastAsia" w:hAnsi="Times New Roman"/>
          <w:color w:val="000000"/>
          <w:kern w:val="24"/>
          <w:szCs w:val="20"/>
          <w:lang w:eastAsia="zh-TW"/>
        </w:rPr>
        <w:t>are</w:t>
      </w:r>
      <w:proofErr w:type="gramEnd"/>
      <w:r w:rsidRPr="00696F63">
        <w:rPr>
          <w:rFonts w:ascii="Times New Roman" w:eastAsiaTheme="minorEastAsia" w:hAnsi="Times New Roman"/>
          <w:color w:val="000000"/>
          <w:kern w:val="24"/>
          <w:szCs w:val="20"/>
          <w:lang w:eastAsia="zh-TW"/>
        </w:rPr>
        <w:t xml:space="preserve"> multiplexed into the same codebook.</w:t>
      </w:r>
    </w:p>
    <w:p w14:paraId="04F97B3C" w14:textId="77777777" w:rsidR="002D46AF" w:rsidRPr="00696F63"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The start of the slot serves as a reference for time-domain allocation.</w:t>
      </w:r>
    </w:p>
    <w:p w14:paraId="339A285E" w14:textId="77777777" w:rsidR="00703D4C" w:rsidRPr="00696F63" w:rsidRDefault="00703D4C" w:rsidP="005E5B2F">
      <w:pPr>
        <w:pStyle w:val="a8"/>
        <w:ind w:leftChars="0" w:left="720"/>
        <w:jc w:val="both"/>
        <w:rPr>
          <w:rFonts w:ascii="Times New Roman" w:eastAsiaTheme="minorEastAsia" w:hAnsi="Times New Roman"/>
          <w:color w:val="000000"/>
          <w:kern w:val="24"/>
          <w:szCs w:val="20"/>
          <w:lang w:eastAsia="zh-TW"/>
        </w:rPr>
      </w:pPr>
    </w:p>
    <w:p w14:paraId="717EBC6B" w14:textId="28FF4B0E" w:rsidR="005E5B2F" w:rsidRPr="00696F63" w:rsidRDefault="002D46AF" w:rsidP="00B02936">
      <w:pPr>
        <w:pStyle w:val="a8"/>
        <w:numPr>
          <w:ilvl w:val="0"/>
          <w:numId w:val="1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Scheduling restriction: Although a physical channel can start anywhere within a slot, it is not allowed to cross the slot boundary. This restriction limits scheduling flexibility for </w:t>
      </w:r>
      <w:proofErr w:type="spellStart"/>
      <w:r w:rsidRPr="00696F63">
        <w:rPr>
          <w:rFonts w:ascii="Times New Roman" w:eastAsiaTheme="minorEastAsia" w:hAnsi="Times New Roman"/>
          <w:color w:val="000000"/>
          <w:kern w:val="24"/>
          <w:szCs w:val="20"/>
          <w:lang w:eastAsia="zh-TW"/>
        </w:rPr>
        <w:t>PxSCH</w:t>
      </w:r>
      <w:proofErr w:type="spellEnd"/>
      <w:r w:rsidRPr="00696F63">
        <w:rPr>
          <w:rFonts w:ascii="Times New Roman" w:eastAsiaTheme="minorEastAsia" w:hAnsi="Times New Roman"/>
          <w:color w:val="000000"/>
          <w:kern w:val="24"/>
          <w:szCs w:val="20"/>
          <w:lang w:eastAsia="zh-TW"/>
        </w:rPr>
        <w:t xml:space="preserve">/PUCCH. For coverage and latency-bounded traffic, a physical channel may need to cross the slot boundary. In NR, this limitation was partially addressed by mechanisms such as </w:t>
      </w:r>
      <w:proofErr w:type="spellStart"/>
      <w:r w:rsidRPr="00696F63">
        <w:rPr>
          <w:rFonts w:ascii="Times New Roman" w:eastAsiaTheme="minorEastAsia" w:hAnsi="Times New Roman"/>
          <w:color w:val="000000"/>
          <w:kern w:val="24"/>
          <w:szCs w:val="20"/>
          <w:lang w:eastAsia="zh-TW"/>
        </w:rPr>
        <w:t>TBoMS</w:t>
      </w:r>
      <w:proofErr w:type="spellEnd"/>
      <w:r w:rsidRPr="00696F63">
        <w:rPr>
          <w:rFonts w:ascii="Times New Roman" w:eastAsiaTheme="minorEastAsia" w:hAnsi="Times New Roman"/>
          <w:color w:val="000000"/>
          <w:kern w:val="24"/>
          <w:szCs w:val="20"/>
          <w:lang w:eastAsia="zh-TW"/>
        </w:rPr>
        <w:t xml:space="preserve"> for coverage and PUSCH Repetition Type-B for latency-bounded services.</w:t>
      </w:r>
      <w:r w:rsidR="00703D4C" w:rsidRPr="00696F63">
        <w:rPr>
          <w:rFonts w:ascii="Times New Roman" w:eastAsiaTheme="minorEastAsia" w:hAnsi="Times New Roman"/>
          <w:color w:val="000000"/>
          <w:kern w:val="24"/>
          <w:szCs w:val="20"/>
          <w:lang w:eastAsia="zh-TW"/>
        </w:rPr>
        <w:t xml:space="preserve"> </w:t>
      </w:r>
    </w:p>
    <w:p w14:paraId="14BFB4FE" w14:textId="77777777" w:rsidR="00CB2C4C" w:rsidRPr="00696F63" w:rsidRDefault="00CB2C4C" w:rsidP="006D3AA9">
      <w:pPr>
        <w:rPr>
          <w:rFonts w:ascii="Times New Roman" w:eastAsia="新細明體" w:hAnsi="Times New Roman"/>
          <w:b/>
          <w:bCs/>
          <w:szCs w:val="20"/>
          <w:lang w:eastAsia="zh-TW"/>
        </w:rPr>
      </w:pPr>
    </w:p>
    <w:p w14:paraId="5B792FF8" w14:textId="5741294C" w:rsidR="00121273" w:rsidRPr="00696F63" w:rsidRDefault="00121273"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232993">
        <w:rPr>
          <w:rFonts w:ascii="Times New Roman" w:eastAsia="新細明體" w:hAnsi="Times New Roman"/>
          <w:b/>
          <w:bCs/>
          <w:szCs w:val="20"/>
          <w:u w:val="single"/>
          <w:lang w:eastAsia="zh-TW"/>
        </w:rPr>
        <w:t>6</w:t>
      </w:r>
      <w:r w:rsidRPr="00696F63">
        <w:rPr>
          <w:rFonts w:ascii="Times New Roman" w:eastAsia="新細明體" w:hAnsi="Times New Roman"/>
          <w:b/>
          <w:bCs/>
          <w:szCs w:val="20"/>
          <w:lang w:eastAsia="zh-TW"/>
        </w:rPr>
        <w:t>: In NR, a slot serves two key roles:</w:t>
      </w:r>
    </w:p>
    <w:p w14:paraId="64E66175" w14:textId="70FF737F" w:rsidR="00121273" w:rsidRPr="00696F63" w:rsidRDefault="00645206" w:rsidP="00645206">
      <w:pPr>
        <w:pStyle w:val="a8"/>
        <w:numPr>
          <w:ilvl w:val="0"/>
          <w:numId w:val="23"/>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Logical-unit reference for resource allocation, UE capability, and other features. For example:</w:t>
      </w:r>
    </w:p>
    <w:p w14:paraId="2A64CEB9" w14:textId="1A7E606E" w:rsidR="00645206" w:rsidRPr="00696F63" w:rsidRDefault="00645206" w:rsidP="00645206">
      <w:pPr>
        <w:pStyle w:val="a8"/>
        <w:numPr>
          <w:ilvl w:val="0"/>
          <w:numId w:val="23"/>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Scheduling restriction</w:t>
      </w:r>
    </w:p>
    <w:p w14:paraId="42DD698D" w14:textId="77777777" w:rsidR="00121273" w:rsidRPr="00696F63" w:rsidRDefault="00121273" w:rsidP="006D3AA9">
      <w:pPr>
        <w:rPr>
          <w:rFonts w:ascii="Times New Roman" w:eastAsia="新細明體" w:hAnsi="Times New Roman"/>
          <w:b/>
          <w:bCs/>
          <w:szCs w:val="20"/>
          <w:u w:val="single"/>
          <w:lang w:eastAsia="zh-TW"/>
        </w:rPr>
      </w:pPr>
    </w:p>
    <w:p w14:paraId="09F48CA1" w14:textId="409F04FE" w:rsidR="00121273" w:rsidRPr="00696F63" w:rsidRDefault="00CB2C4C"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232993">
        <w:rPr>
          <w:rFonts w:ascii="Times New Roman" w:eastAsia="新細明體" w:hAnsi="Times New Roman"/>
          <w:b/>
          <w:bCs/>
          <w:szCs w:val="20"/>
          <w:u w:val="single"/>
          <w:lang w:eastAsia="zh-TW"/>
        </w:rPr>
        <w:t>7</w:t>
      </w:r>
      <w:r w:rsidRPr="00696F63">
        <w:rPr>
          <w:rFonts w:ascii="Times New Roman" w:eastAsia="新細明體" w:hAnsi="Times New Roman"/>
          <w:b/>
          <w:bCs/>
          <w:szCs w:val="20"/>
          <w:lang w:eastAsia="zh-TW"/>
        </w:rPr>
        <w:t>: After 5G R15, coverage enhancement proposals in 5G often require</w:t>
      </w:r>
      <w:r w:rsidR="007B2417" w:rsidRPr="00696F63">
        <w:rPr>
          <w:rFonts w:ascii="Times New Roman" w:eastAsia="新細明體" w:hAnsi="Times New Roman"/>
          <w:b/>
          <w:bCs/>
          <w:szCs w:val="20"/>
          <w:lang w:eastAsia="zh-TW"/>
        </w:rPr>
        <w:t xml:space="preserve"> scheduling</w:t>
      </w:r>
      <w:r w:rsidRPr="00696F63">
        <w:rPr>
          <w:rFonts w:ascii="Times New Roman" w:eastAsia="新細明體" w:hAnsi="Times New Roman"/>
          <w:b/>
          <w:bCs/>
          <w:szCs w:val="20"/>
          <w:lang w:eastAsia="zh-TW"/>
        </w:rPr>
        <w:t xml:space="preserve"> </w:t>
      </w:r>
      <w:r w:rsidR="002D46AF" w:rsidRPr="00696F63">
        <w:rPr>
          <w:rFonts w:ascii="Times New Roman" w:eastAsia="新細明體" w:hAnsi="Times New Roman"/>
          <w:b/>
          <w:bCs/>
          <w:szCs w:val="20"/>
          <w:lang w:eastAsia="zh-TW"/>
        </w:rPr>
        <w:t>crossing</w:t>
      </w:r>
      <w:r w:rsidRPr="00696F63">
        <w:rPr>
          <w:rFonts w:ascii="Times New Roman" w:eastAsia="新細明體" w:hAnsi="Times New Roman"/>
          <w:b/>
          <w:bCs/>
          <w:szCs w:val="20"/>
          <w:lang w:eastAsia="zh-TW"/>
        </w:rPr>
        <w:t xml:space="preserve"> slot boundary, for example, TB processing over multi-slot (</w:t>
      </w:r>
      <w:proofErr w:type="spellStart"/>
      <w:r w:rsidRPr="00696F63">
        <w:rPr>
          <w:rFonts w:ascii="Times New Roman" w:eastAsia="新細明體" w:hAnsi="Times New Roman"/>
          <w:b/>
          <w:bCs/>
          <w:szCs w:val="20"/>
          <w:lang w:eastAsia="zh-TW"/>
        </w:rPr>
        <w:t>TBoMS</w:t>
      </w:r>
      <w:proofErr w:type="spellEnd"/>
      <w:r w:rsidRPr="00696F63">
        <w:rPr>
          <w:rFonts w:ascii="Times New Roman" w:eastAsia="新細明體" w:hAnsi="Times New Roman"/>
          <w:b/>
          <w:bCs/>
          <w:szCs w:val="20"/>
          <w:lang w:eastAsia="zh-TW"/>
        </w:rPr>
        <w:t>) and DMRS bundling over multiple slots.</w:t>
      </w:r>
    </w:p>
    <w:p w14:paraId="3FFA6020" w14:textId="77777777" w:rsidR="00121273" w:rsidRPr="00696F63" w:rsidRDefault="00121273" w:rsidP="006D3AA9">
      <w:pPr>
        <w:rPr>
          <w:rFonts w:ascii="Times New Roman" w:eastAsia="新細明體" w:hAnsi="Times New Roman"/>
          <w:b/>
          <w:bCs/>
          <w:szCs w:val="20"/>
          <w:lang w:eastAsia="zh-TW"/>
        </w:rPr>
      </w:pPr>
    </w:p>
    <w:p w14:paraId="72D41225" w14:textId="35727D8C" w:rsidR="00AE1A84" w:rsidRDefault="00645206"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w:t>
      </w:r>
      <w:r w:rsidR="00E23386" w:rsidRPr="00696F63">
        <w:rPr>
          <w:rFonts w:ascii="Times New Roman" w:eastAsia="新細明體" w:hAnsi="Times New Roman"/>
          <w:b/>
          <w:bCs/>
          <w:szCs w:val="20"/>
          <w:u w:val="single"/>
          <w:lang w:eastAsia="zh-TW"/>
        </w:rPr>
        <w:t xml:space="preserve"> </w:t>
      </w:r>
      <w:r w:rsidR="00C343FF">
        <w:rPr>
          <w:rFonts w:ascii="Times New Roman" w:eastAsia="新細明體" w:hAnsi="Times New Roman"/>
          <w:b/>
          <w:bCs/>
          <w:szCs w:val="20"/>
          <w:u w:val="single"/>
          <w:lang w:eastAsia="zh-TW"/>
        </w:rPr>
        <w:t>8</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Study the support of PXSCH across slot boundary to enhance coverage and reduce latency.</w:t>
      </w:r>
    </w:p>
    <w:p w14:paraId="6BC64B3C" w14:textId="77777777" w:rsidR="00447C43" w:rsidRDefault="00447C43" w:rsidP="006D3AA9">
      <w:pPr>
        <w:rPr>
          <w:rFonts w:ascii="Times New Roman" w:eastAsia="新細明體" w:hAnsi="Times New Roman"/>
          <w:b/>
          <w:bCs/>
          <w:szCs w:val="20"/>
          <w:lang w:eastAsia="zh-TW"/>
        </w:rPr>
      </w:pPr>
    </w:p>
    <w:p w14:paraId="7D51A65D" w14:textId="77777777" w:rsidR="00447C43" w:rsidRPr="00447C43" w:rsidRDefault="00447C43" w:rsidP="00447C43">
      <w:pPr>
        <w:spacing w:after="120"/>
        <w:rPr>
          <w:rFonts w:ascii="Times New Roman" w:eastAsia="新細明體" w:hAnsi="Times New Roman"/>
          <w:szCs w:val="20"/>
          <w:lang w:eastAsia="zh-TW"/>
        </w:rPr>
      </w:pPr>
      <w:r w:rsidRPr="00447C43">
        <w:rPr>
          <w:rFonts w:ascii="Times New Roman" w:eastAsia="新細明體" w:hAnsi="Times New Roman"/>
          <w:szCs w:val="20"/>
          <w:lang w:eastAsia="zh-TW"/>
        </w:rPr>
        <w:t>In 5G NR, the TDD UL/DL configuration is quite flexible and can be adjusted in symbol level. But only a few of TDD UL/DL configurations are deployed in real network. It’s suggested to remove this unnecessary flexibility in 6G, e.g., something similar to LTE.</w:t>
      </w:r>
    </w:p>
    <w:p w14:paraId="0EC70393" w14:textId="42C62203" w:rsidR="00447C43" w:rsidRPr="00447C43" w:rsidRDefault="00447C43" w:rsidP="00447C43">
      <w:pPr>
        <w:spacing w:after="120"/>
        <w:rPr>
          <w:rFonts w:ascii="Times New Roman" w:eastAsia="新細明體" w:hAnsi="Times New Roman"/>
          <w:b/>
          <w:bCs/>
          <w:szCs w:val="20"/>
          <w:lang w:eastAsia="zh-TW"/>
        </w:rPr>
      </w:pPr>
      <w:r w:rsidRPr="00447C43">
        <w:rPr>
          <w:rFonts w:ascii="Times New Roman" w:eastAsia="新細明體" w:hAnsi="Times New Roman"/>
          <w:b/>
          <w:bCs/>
          <w:szCs w:val="20"/>
          <w:u w:val="single"/>
          <w:lang w:eastAsia="zh-TW"/>
        </w:rPr>
        <w:t xml:space="preserve">Proposal </w:t>
      </w:r>
      <w:r w:rsidR="00C343FF">
        <w:rPr>
          <w:rFonts w:ascii="Times New Roman" w:eastAsia="新細明體" w:hAnsi="Times New Roman"/>
          <w:b/>
          <w:bCs/>
          <w:szCs w:val="20"/>
          <w:u w:val="single"/>
          <w:lang w:eastAsia="zh-TW"/>
        </w:rPr>
        <w:t>9</w:t>
      </w:r>
      <w:r w:rsidRPr="00447C43">
        <w:rPr>
          <w:rFonts w:ascii="Times New Roman" w:eastAsia="新細明體" w:hAnsi="Times New Roman"/>
          <w:b/>
          <w:bCs/>
          <w:szCs w:val="20"/>
          <w:u w:val="single"/>
          <w:lang w:eastAsia="zh-TW"/>
        </w:rPr>
        <w:t>:</w:t>
      </w:r>
      <w:r w:rsidRPr="00447C43">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5E57658D" w14:textId="51D3A9C1" w:rsidR="006632A3" w:rsidRPr="00696F63" w:rsidRDefault="006632A3" w:rsidP="006D3AA9">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lang w:eastAsia="zh-TW"/>
        </w:rPr>
        <w:t>Discussion on Duplex</w:t>
      </w:r>
    </w:p>
    <w:p w14:paraId="68A66FBD" w14:textId="77777777" w:rsidR="00696F63" w:rsidRPr="007F2D74" w:rsidRDefault="00696F63" w:rsidP="00696F63">
      <w:pPr>
        <w:spacing w:after="120"/>
        <w:jc w:val="both"/>
        <w:rPr>
          <w:rFonts w:ascii="Times New Roman" w:eastAsia="SimSun" w:hAnsi="Times New Roman"/>
          <w:szCs w:val="20"/>
        </w:rPr>
      </w:pPr>
      <w:r w:rsidRPr="007F2D74">
        <w:rPr>
          <w:rFonts w:ascii="Times New Roman" w:hAnsi="Times New Roman"/>
        </w:rPr>
        <w:t>RAN1#122 agreed the following:</w:t>
      </w:r>
    </w:p>
    <w:p w14:paraId="54198D36" w14:textId="77777777" w:rsidR="00696F63" w:rsidRPr="007F2D74" w:rsidRDefault="00696F63" w:rsidP="00696F63">
      <w:pPr>
        <w:rPr>
          <w:rFonts w:ascii="Times New Roman" w:eastAsia="DengXian" w:hAnsi="Times New Roman"/>
          <w:i/>
          <w:iCs/>
          <w:highlight w:val="green"/>
          <w:lang w:eastAsia="zh-CN"/>
        </w:rPr>
      </w:pPr>
      <w:r w:rsidRPr="007F2D74">
        <w:rPr>
          <w:rFonts w:ascii="Times New Roman" w:eastAsia="DengXian" w:hAnsi="Times New Roman"/>
          <w:i/>
          <w:iCs/>
          <w:highlight w:val="green"/>
          <w:lang w:eastAsia="zh-CN"/>
        </w:rPr>
        <w:t>Agreement</w:t>
      </w:r>
    </w:p>
    <w:p w14:paraId="734B2B81" w14:textId="77777777" w:rsidR="00696F63" w:rsidRPr="007F2D74" w:rsidRDefault="00696F63" w:rsidP="00696F63">
      <w:pPr>
        <w:pStyle w:val="a8"/>
        <w:numPr>
          <w:ilvl w:val="0"/>
          <w:numId w:val="26"/>
        </w:numPr>
        <w:ind w:leftChars="0" w:hanging="442"/>
        <w:contextualSpacing/>
        <w:jc w:val="both"/>
        <w:rPr>
          <w:rFonts w:ascii="Times New Roman" w:hAnsi="Times New Roman"/>
          <w:i/>
          <w:iCs/>
          <w:szCs w:val="20"/>
        </w:rPr>
      </w:pPr>
      <w:r w:rsidRPr="007F2D74">
        <w:rPr>
          <w:rFonts w:ascii="Times New Roman" w:hAnsi="Times New Roman"/>
          <w:i/>
          <w:iCs/>
          <w:szCs w:val="20"/>
        </w:rPr>
        <w:t>Study and identify the lessons learned from NR</w:t>
      </w:r>
      <w:r w:rsidRPr="007F2D74">
        <w:rPr>
          <w:rFonts w:ascii="Times New Roman" w:eastAsia="DengXian" w:hAnsi="Times New Roman"/>
          <w:i/>
          <w:iCs/>
          <w:szCs w:val="20"/>
        </w:rPr>
        <w:t xml:space="preserve"> </w:t>
      </w:r>
      <w:r w:rsidRPr="007F2D74">
        <w:rPr>
          <w:rFonts w:ascii="Times New Roman" w:hAnsi="Times New Roman"/>
          <w:i/>
          <w:iCs/>
          <w:szCs w:val="20"/>
        </w:rPr>
        <w:t xml:space="preserve">duplex </w:t>
      </w:r>
      <w:proofErr w:type="gramStart"/>
      <w:r w:rsidRPr="007F2D74">
        <w:rPr>
          <w:rFonts w:ascii="Times New Roman" w:hAnsi="Times New Roman"/>
          <w:i/>
          <w:iCs/>
          <w:szCs w:val="20"/>
        </w:rPr>
        <w:t>modes</w:t>
      </w:r>
      <w:proofErr w:type="gramEnd"/>
    </w:p>
    <w:p w14:paraId="25D0DA5E" w14:textId="77777777" w:rsidR="00696F63" w:rsidRPr="007F2D74" w:rsidRDefault="00696F63" w:rsidP="00696F63">
      <w:pPr>
        <w:pStyle w:val="a8"/>
        <w:numPr>
          <w:ilvl w:val="0"/>
          <w:numId w:val="26"/>
        </w:numPr>
        <w:ind w:leftChars="0" w:hanging="442"/>
        <w:contextualSpacing/>
        <w:jc w:val="both"/>
        <w:rPr>
          <w:rFonts w:ascii="Times New Roman" w:eastAsia="SimSun" w:hAnsi="Times New Roman"/>
          <w:i/>
          <w:iCs/>
          <w:szCs w:val="20"/>
          <w:lang w:eastAsia="zh-CN"/>
        </w:rPr>
      </w:pPr>
      <w:r w:rsidRPr="007F2D74">
        <w:rPr>
          <w:rFonts w:ascii="Times New Roman" w:hAnsi="Times New Roman"/>
          <w:i/>
          <w:iCs/>
          <w:szCs w:val="20"/>
        </w:rPr>
        <w:t xml:space="preserve">On 6GR duplexing study, RAN1 considers at least following duplex </w:t>
      </w:r>
      <w:proofErr w:type="gramStart"/>
      <w:r w:rsidRPr="007F2D74">
        <w:rPr>
          <w:rFonts w:ascii="Times New Roman" w:hAnsi="Times New Roman"/>
          <w:i/>
          <w:iCs/>
          <w:szCs w:val="20"/>
        </w:rPr>
        <w:t>types</w:t>
      </w:r>
      <w:proofErr w:type="gramEnd"/>
    </w:p>
    <w:p w14:paraId="58560E35" w14:textId="77777777" w:rsidR="00696F63" w:rsidRPr="007F2D74" w:rsidRDefault="00696F63" w:rsidP="00696F63">
      <w:pPr>
        <w:pStyle w:val="a8"/>
        <w:numPr>
          <w:ilvl w:val="1"/>
          <w:numId w:val="26"/>
        </w:numPr>
        <w:ind w:leftChars="0" w:hanging="442"/>
        <w:contextualSpacing/>
        <w:jc w:val="both"/>
        <w:rPr>
          <w:rFonts w:ascii="Times New Roman" w:hAnsi="Times New Roman"/>
          <w:i/>
          <w:iCs/>
          <w:szCs w:val="20"/>
        </w:rPr>
      </w:pPr>
      <w:r w:rsidRPr="007F2D74">
        <w:rPr>
          <w:rFonts w:ascii="Times New Roman" w:hAnsi="Times New Roman"/>
          <w:i/>
          <w:iCs/>
          <w:szCs w:val="20"/>
        </w:rPr>
        <w:t>FD-FDD</w:t>
      </w:r>
    </w:p>
    <w:p w14:paraId="786BDAB9" w14:textId="77777777" w:rsidR="00696F63" w:rsidRPr="007F2D74" w:rsidRDefault="00696F63" w:rsidP="00696F63">
      <w:pPr>
        <w:pStyle w:val="a8"/>
        <w:numPr>
          <w:ilvl w:val="1"/>
          <w:numId w:val="26"/>
        </w:numPr>
        <w:ind w:leftChars="0" w:hanging="442"/>
        <w:contextualSpacing/>
        <w:jc w:val="both"/>
        <w:rPr>
          <w:rFonts w:ascii="Times New Roman" w:hAnsi="Times New Roman"/>
          <w:i/>
          <w:iCs/>
          <w:szCs w:val="20"/>
        </w:rPr>
      </w:pPr>
      <w:r w:rsidRPr="007F2D74">
        <w:rPr>
          <w:rFonts w:ascii="Times New Roman" w:hAnsi="Times New Roman"/>
          <w:i/>
          <w:iCs/>
          <w:szCs w:val="20"/>
        </w:rPr>
        <w:t>Semi-static TDD</w:t>
      </w:r>
    </w:p>
    <w:p w14:paraId="5CB2D262" w14:textId="77777777" w:rsidR="00696F63" w:rsidRPr="007F2D74" w:rsidRDefault="00696F63" w:rsidP="00696F63">
      <w:pPr>
        <w:pStyle w:val="a8"/>
        <w:numPr>
          <w:ilvl w:val="1"/>
          <w:numId w:val="26"/>
        </w:numPr>
        <w:ind w:leftChars="0" w:hanging="442"/>
        <w:contextualSpacing/>
        <w:jc w:val="both"/>
        <w:rPr>
          <w:rFonts w:ascii="Times New Roman" w:hAnsi="Times New Roman"/>
          <w:i/>
          <w:iCs/>
          <w:szCs w:val="20"/>
        </w:rPr>
      </w:pPr>
      <w:proofErr w:type="spellStart"/>
      <w:r w:rsidRPr="007F2D74">
        <w:rPr>
          <w:rFonts w:ascii="Times New Roman" w:hAnsi="Times New Roman"/>
          <w:i/>
          <w:iCs/>
          <w:szCs w:val="20"/>
        </w:rPr>
        <w:t>gNB</w:t>
      </w:r>
      <w:proofErr w:type="spellEnd"/>
      <w:r w:rsidRPr="007F2D74">
        <w:rPr>
          <w:rFonts w:ascii="Times New Roman" w:hAnsi="Times New Roman"/>
          <w:i/>
          <w:iCs/>
          <w:szCs w:val="20"/>
        </w:rPr>
        <w:t xml:space="preserve"> semi-static SBFD</w:t>
      </w:r>
    </w:p>
    <w:p w14:paraId="533DD816"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r w:rsidRPr="00447C43">
        <w:rPr>
          <w:rFonts w:ascii="Times New Roman" w:hAnsi="Times New Roman"/>
          <w:i/>
          <w:iCs/>
          <w:szCs w:val="20"/>
        </w:rPr>
        <w:t>HD-FDD on UE side</w:t>
      </w:r>
    </w:p>
    <w:p w14:paraId="06979FB5"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r w:rsidRPr="00447C43">
        <w:rPr>
          <w:rFonts w:ascii="Times New Roman" w:hAnsi="Times New Roman"/>
          <w:i/>
          <w:iCs/>
          <w:szCs w:val="20"/>
        </w:rPr>
        <w:t>Dynamic TDD</w:t>
      </w:r>
    </w:p>
    <w:p w14:paraId="01D6A2D2" w14:textId="77777777" w:rsidR="00696F63" w:rsidRPr="00447C43" w:rsidRDefault="00696F63" w:rsidP="00696F63">
      <w:pPr>
        <w:pStyle w:val="a8"/>
        <w:numPr>
          <w:ilvl w:val="0"/>
          <w:numId w:val="26"/>
        </w:numPr>
        <w:ind w:leftChars="0" w:hanging="442"/>
        <w:contextualSpacing/>
        <w:jc w:val="both"/>
        <w:rPr>
          <w:rFonts w:ascii="Times New Roman" w:hAnsi="Times New Roman"/>
          <w:i/>
          <w:iCs/>
          <w:szCs w:val="20"/>
        </w:rPr>
      </w:pPr>
      <w:r w:rsidRPr="00447C43">
        <w:rPr>
          <w:rFonts w:ascii="Times New Roman" w:eastAsia="DengXian" w:hAnsi="Times New Roman"/>
          <w:i/>
          <w:iCs/>
          <w:szCs w:val="20"/>
        </w:rPr>
        <w:t>Study</w:t>
      </w:r>
      <w:r w:rsidRPr="00447C43">
        <w:rPr>
          <w:rFonts w:ascii="Times New Roman" w:hAnsi="Times New Roman"/>
          <w:i/>
          <w:iCs/>
          <w:szCs w:val="20"/>
        </w:rPr>
        <w:t xml:space="preserve"> whether to consider following duplexing </w:t>
      </w:r>
      <w:proofErr w:type="gramStart"/>
      <w:r w:rsidRPr="00447C43">
        <w:rPr>
          <w:rFonts w:ascii="Times New Roman" w:hAnsi="Times New Roman"/>
          <w:i/>
          <w:iCs/>
          <w:szCs w:val="20"/>
        </w:rPr>
        <w:t>types</w:t>
      </w:r>
      <w:proofErr w:type="gramEnd"/>
    </w:p>
    <w:p w14:paraId="22311161"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proofErr w:type="spellStart"/>
      <w:r w:rsidRPr="00447C43">
        <w:rPr>
          <w:rFonts w:ascii="Times New Roman" w:hAnsi="Times New Roman"/>
          <w:i/>
          <w:iCs/>
          <w:szCs w:val="20"/>
        </w:rPr>
        <w:t>gNB</w:t>
      </w:r>
      <w:proofErr w:type="spellEnd"/>
      <w:r w:rsidRPr="00447C43">
        <w:rPr>
          <w:rFonts w:ascii="Times New Roman" w:hAnsi="Times New Roman"/>
          <w:i/>
          <w:iCs/>
          <w:szCs w:val="20"/>
        </w:rPr>
        <w:t xml:space="preserve"> dynamic SBFD</w:t>
      </w:r>
    </w:p>
    <w:p w14:paraId="4F748DD5"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r w:rsidRPr="00447C43">
        <w:rPr>
          <w:rFonts w:ascii="Times New Roman" w:hAnsi="Times New Roman"/>
          <w:i/>
          <w:iCs/>
          <w:szCs w:val="20"/>
        </w:rPr>
        <w:t>UE SBFD</w:t>
      </w:r>
    </w:p>
    <w:p w14:paraId="4571FBD2"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proofErr w:type="spellStart"/>
      <w:r w:rsidRPr="00447C43">
        <w:rPr>
          <w:rFonts w:ascii="Times New Roman" w:hAnsi="Times New Roman"/>
          <w:i/>
          <w:iCs/>
          <w:szCs w:val="20"/>
        </w:rPr>
        <w:t>gNB</w:t>
      </w:r>
      <w:proofErr w:type="spellEnd"/>
      <w:r w:rsidRPr="00447C43">
        <w:rPr>
          <w:rFonts w:ascii="Times New Roman" w:hAnsi="Times New Roman"/>
          <w:i/>
          <w:iCs/>
          <w:szCs w:val="20"/>
        </w:rPr>
        <w:t xml:space="preserve"> FD</w:t>
      </w:r>
    </w:p>
    <w:p w14:paraId="40D68027" w14:textId="77777777" w:rsidR="00696F63" w:rsidRPr="00447C43" w:rsidRDefault="00696F63" w:rsidP="00696F63">
      <w:pPr>
        <w:pStyle w:val="a8"/>
        <w:numPr>
          <w:ilvl w:val="1"/>
          <w:numId w:val="26"/>
        </w:numPr>
        <w:spacing w:after="120"/>
        <w:ind w:leftChars="0"/>
        <w:jc w:val="both"/>
        <w:rPr>
          <w:rFonts w:ascii="Times New Roman" w:hAnsi="Times New Roman"/>
          <w:i/>
          <w:iCs/>
          <w:szCs w:val="20"/>
        </w:rPr>
      </w:pPr>
      <w:r w:rsidRPr="00447C43">
        <w:rPr>
          <w:rFonts w:ascii="Times New Roman" w:hAnsi="Times New Roman"/>
          <w:i/>
          <w:iCs/>
          <w:szCs w:val="20"/>
        </w:rPr>
        <w:t>Note: Other duplex modes are not precluded</w:t>
      </w:r>
    </w:p>
    <w:p w14:paraId="7EA0EC34" w14:textId="77777777" w:rsidR="00696F63" w:rsidRPr="00447C43" w:rsidRDefault="00696F63" w:rsidP="00696F63">
      <w:pPr>
        <w:spacing w:after="120"/>
        <w:jc w:val="both"/>
        <w:rPr>
          <w:rFonts w:ascii="Times New Roman" w:hAnsi="Times New Roman"/>
        </w:rPr>
      </w:pPr>
      <w:r w:rsidRPr="00447C43">
        <w:rPr>
          <w:rFonts w:ascii="Times New Roman" w:hAnsi="Times New Roman"/>
        </w:rPr>
        <w:t>6G will need to operate on paired spectrum and unpaired spectrum. For paired spectrum, FD-FDD operation is expected to be catered for at both network and UE side. In addition, Half-Duplex operation at the UE side should be considered to accommodate for device complexity reduction, potentially depending on the frequency band.</w:t>
      </w:r>
    </w:p>
    <w:p w14:paraId="7E92769B" w14:textId="734B8846" w:rsidR="00696F63" w:rsidRPr="00447C43" w:rsidRDefault="00696F63" w:rsidP="00696F63">
      <w:pPr>
        <w:spacing w:after="120"/>
        <w:rPr>
          <w:rFonts w:ascii="Times New Roman" w:hAnsi="Times New Roman"/>
          <w:b/>
          <w:bCs/>
        </w:rPr>
      </w:pPr>
      <w:r w:rsidRPr="00447C43">
        <w:rPr>
          <w:rFonts w:ascii="Times New Roman" w:hAnsi="Times New Roman"/>
          <w:b/>
          <w:bCs/>
        </w:rPr>
        <w:t xml:space="preserve">Proposal </w:t>
      </w:r>
      <w:r w:rsidR="00C343FF">
        <w:rPr>
          <w:rFonts w:ascii="Times New Roman" w:hAnsi="Times New Roman"/>
          <w:b/>
          <w:bCs/>
        </w:rPr>
        <w:t>10</w:t>
      </w:r>
      <w:r w:rsidRPr="00447C43">
        <w:rPr>
          <w:rFonts w:ascii="Times New Roman" w:hAnsi="Times New Roman"/>
          <w:b/>
          <w:bCs/>
        </w:rPr>
        <w:t>: Target both FD-FDD and HD-FDD operation at UE side for paired bands.</w:t>
      </w:r>
    </w:p>
    <w:p w14:paraId="53DD11EB" w14:textId="77777777" w:rsidR="00696F63" w:rsidRPr="007F2D74" w:rsidRDefault="00696F63" w:rsidP="00696F63">
      <w:pPr>
        <w:spacing w:after="120"/>
        <w:jc w:val="both"/>
        <w:rPr>
          <w:rFonts w:ascii="Times New Roman" w:hAnsi="Times New Roman"/>
        </w:rPr>
      </w:pPr>
      <w:r w:rsidRPr="00447C43">
        <w:rPr>
          <w:rFonts w:ascii="Times New Roman" w:hAnsi="Times New Roman"/>
        </w:rPr>
        <w:t>For unpaired spectrum in 6G, two duplexing schemes should be studied: TDD and SBFD. In TDD operation, a semi-static indication of the TDD pattern serves as a baseline. This pattern can be aligned among base stations - whether they belong to the same operator or different operators - resulting in synchronous TDD. Alternatively, the pattern may not be aligned among base stations, leading to asynchronous TDD. Asynchronous TDD poses a risk of inter-</w:t>
      </w:r>
      <w:proofErr w:type="spellStart"/>
      <w:r w:rsidRPr="00447C43">
        <w:rPr>
          <w:rFonts w:ascii="Times New Roman" w:hAnsi="Times New Roman"/>
        </w:rPr>
        <w:t>gNB</w:t>
      </w:r>
      <w:proofErr w:type="spellEnd"/>
      <w:r w:rsidRPr="00447C43">
        <w:rPr>
          <w:rFonts w:ascii="Times New Roman" w:hAnsi="Times New Roman"/>
        </w:rPr>
        <w:t xml:space="preserve"> and inter-UE Cross-Link Interference (CLI), for which RAN1 should investigate effective CLI mitigation and handling procedures.</w:t>
      </w:r>
    </w:p>
    <w:p w14:paraId="630536B7" w14:textId="4D879E74" w:rsidR="00696F63" w:rsidRPr="007F2D74" w:rsidRDefault="00696F63" w:rsidP="00696F63">
      <w:pPr>
        <w:spacing w:after="120"/>
        <w:rPr>
          <w:rFonts w:ascii="Times New Roman" w:hAnsi="Times New Roman"/>
          <w:b/>
          <w:bCs/>
        </w:rPr>
      </w:pPr>
      <w:r w:rsidRPr="007F2D74">
        <w:rPr>
          <w:rFonts w:ascii="Times New Roman" w:hAnsi="Times New Roman"/>
          <w:b/>
          <w:bCs/>
        </w:rPr>
        <w:t xml:space="preserve">Proposal </w:t>
      </w:r>
      <w:r w:rsidR="00C343FF">
        <w:rPr>
          <w:rFonts w:ascii="Times New Roman" w:hAnsi="Times New Roman"/>
          <w:b/>
          <w:bCs/>
        </w:rPr>
        <w:t>11</w:t>
      </w:r>
      <w:r w:rsidRPr="007F2D74">
        <w:rPr>
          <w:rFonts w:ascii="Times New Roman" w:hAnsi="Times New Roman"/>
          <w:b/>
          <w:bCs/>
        </w:rPr>
        <w:t>: Target semi-static TDD operation in unpaired bands as a baseline, with consideration for CLI mitigation for asynchronous semi-static TDD scenarios.</w:t>
      </w:r>
    </w:p>
    <w:p w14:paraId="5A10FC38" w14:textId="77777777" w:rsidR="00696F63" w:rsidRPr="00447C43" w:rsidRDefault="00696F63" w:rsidP="00696F63">
      <w:pPr>
        <w:spacing w:after="120"/>
        <w:jc w:val="both"/>
        <w:rPr>
          <w:rFonts w:ascii="Times New Roman" w:hAnsi="Times New Roman"/>
        </w:rPr>
      </w:pPr>
      <w:r w:rsidRPr="007F2D74">
        <w:rPr>
          <w:rFonts w:ascii="Times New Roman" w:hAnsi="Times New Roman"/>
        </w:rPr>
        <w:lastRenderedPageBreak/>
        <w:t xml:space="preserve">NR specifications support dynamic TDD from Rel-15 by defining “Flexible” symbols, where the transmission direction is not predetermined. Additionally, Slot Format Indication (SFI) was introduced to enable the network to dynamically change the TDD pattern for “Flexible” symbols. However, due to a lack of use cases and the presence of high co-channel CLI, dynamic TDD was not deployed in 5G networks. CLI in dynamic TDD is typically very high because the DL/UL transmission on specific PRBs of aggressor </w:t>
      </w:r>
      <w:proofErr w:type="spellStart"/>
      <w:r w:rsidRPr="007F2D74">
        <w:rPr>
          <w:rFonts w:ascii="Times New Roman" w:hAnsi="Times New Roman"/>
        </w:rPr>
        <w:t>gNB</w:t>
      </w:r>
      <w:proofErr w:type="spellEnd"/>
      <w:r w:rsidRPr="007F2D74">
        <w:rPr>
          <w:rFonts w:ascii="Times New Roman" w:hAnsi="Times New Roman"/>
        </w:rPr>
        <w:t>/UE interferes with the same PRBs of the UL/DL re</w:t>
      </w:r>
      <w:r w:rsidRPr="00447C43">
        <w:rPr>
          <w:rFonts w:ascii="Times New Roman" w:hAnsi="Times New Roman"/>
        </w:rPr>
        <w:t xml:space="preserve">ception at a victim </w:t>
      </w:r>
      <w:proofErr w:type="spellStart"/>
      <w:r w:rsidRPr="00447C43">
        <w:rPr>
          <w:rFonts w:ascii="Times New Roman" w:hAnsi="Times New Roman"/>
        </w:rPr>
        <w:t>gNB</w:t>
      </w:r>
      <w:proofErr w:type="spellEnd"/>
      <w:r w:rsidRPr="00447C43">
        <w:rPr>
          <w:rFonts w:ascii="Times New Roman" w:hAnsi="Times New Roman"/>
        </w:rPr>
        <w:t>/UE, with no frequency isolation unlike with SBFD.</w:t>
      </w:r>
    </w:p>
    <w:p w14:paraId="58A8E634" w14:textId="1B5D197D" w:rsidR="00696F63" w:rsidRPr="00447C43" w:rsidRDefault="00696F63" w:rsidP="00696F63">
      <w:pPr>
        <w:spacing w:after="120"/>
        <w:jc w:val="both"/>
        <w:rPr>
          <w:rFonts w:ascii="Times New Roman" w:hAnsi="Times New Roman"/>
          <w:b/>
          <w:bCs/>
        </w:rPr>
      </w:pPr>
      <w:r w:rsidRPr="00447C43">
        <w:rPr>
          <w:rFonts w:ascii="Times New Roman" w:hAnsi="Times New Roman"/>
          <w:b/>
          <w:bCs/>
        </w:rPr>
        <w:t xml:space="preserve">Observation </w:t>
      </w:r>
      <w:r w:rsidR="00232993">
        <w:rPr>
          <w:rFonts w:ascii="Times New Roman" w:hAnsi="Times New Roman"/>
          <w:b/>
          <w:bCs/>
        </w:rPr>
        <w:t>8</w:t>
      </w:r>
      <w:r w:rsidRPr="00447C43">
        <w:rPr>
          <w:rFonts w:ascii="Times New Roman" w:hAnsi="Times New Roman"/>
          <w:b/>
          <w:bCs/>
        </w:rPr>
        <w:t>: Due to a lack of use cases and the presence of high co-channel CLI, dynamic TDD was not deployed in 5G networks.</w:t>
      </w:r>
    </w:p>
    <w:p w14:paraId="62944E60" w14:textId="77777777" w:rsidR="00696F63" w:rsidRPr="00447C43" w:rsidRDefault="00696F63" w:rsidP="00696F63">
      <w:pPr>
        <w:spacing w:after="120"/>
        <w:jc w:val="both"/>
        <w:rPr>
          <w:rFonts w:ascii="Times New Roman" w:hAnsi="Times New Roman"/>
          <w:color w:val="000000"/>
        </w:rPr>
      </w:pPr>
      <w:r w:rsidRPr="00447C43">
        <w:rPr>
          <w:rFonts w:ascii="Times New Roman" w:hAnsi="Times New Roman"/>
          <w:color w:val="000000"/>
        </w:rPr>
        <w:t>From the UE perspective, “Flexible” symbols introduce complexity for the UE (and specifications) due to collision handling between UL and DL scheduling. Collision handling creates uncertainty in UE processing, where the UE cannot process some channels/signals until the “last minute” because they might be cancelled by another channel. Additionally, cancelling a channel might impact the transmission of other channels (e.g., multiplexing among PUSCHs/PUCCHs across different carriers).</w:t>
      </w:r>
    </w:p>
    <w:p w14:paraId="6E8FB1E2" w14:textId="28869649" w:rsidR="00696F63" w:rsidRPr="00447C43" w:rsidRDefault="00696F63" w:rsidP="00696F63">
      <w:pPr>
        <w:spacing w:after="120"/>
        <w:jc w:val="both"/>
        <w:rPr>
          <w:rFonts w:ascii="Times New Roman" w:hAnsi="Times New Roman"/>
          <w:b/>
          <w:bCs/>
        </w:rPr>
      </w:pPr>
      <w:r w:rsidRPr="00447C43">
        <w:rPr>
          <w:rFonts w:ascii="Times New Roman" w:hAnsi="Times New Roman"/>
          <w:b/>
          <w:bCs/>
        </w:rPr>
        <w:t xml:space="preserve">Observation </w:t>
      </w:r>
      <w:r w:rsidR="00232993">
        <w:rPr>
          <w:rFonts w:ascii="Times New Roman" w:hAnsi="Times New Roman"/>
          <w:b/>
          <w:bCs/>
        </w:rPr>
        <w:t>9</w:t>
      </w:r>
      <w:r w:rsidRPr="00447C43">
        <w:rPr>
          <w:rFonts w:ascii="Times New Roman" w:hAnsi="Times New Roman"/>
          <w:b/>
          <w:bCs/>
        </w:rPr>
        <w:t xml:space="preserve">: The uncertainty in the transmission direction caused by the overdesign of dynamic TDD in NR led to high implementation complexity for both UE and </w:t>
      </w:r>
      <w:proofErr w:type="spellStart"/>
      <w:r w:rsidRPr="00447C43">
        <w:rPr>
          <w:rFonts w:ascii="Times New Roman" w:hAnsi="Times New Roman"/>
          <w:b/>
          <w:bCs/>
        </w:rPr>
        <w:t>gNB</w:t>
      </w:r>
      <w:proofErr w:type="spellEnd"/>
      <w:r w:rsidRPr="00447C43">
        <w:rPr>
          <w:rFonts w:ascii="Times New Roman" w:hAnsi="Times New Roman"/>
          <w:b/>
          <w:bCs/>
        </w:rPr>
        <w:t>.</w:t>
      </w:r>
    </w:p>
    <w:p w14:paraId="19A8125B" w14:textId="7992B9F5" w:rsidR="00696F63" w:rsidRPr="007F2D74" w:rsidRDefault="00696F63" w:rsidP="00696F63">
      <w:pPr>
        <w:spacing w:after="120"/>
        <w:jc w:val="both"/>
        <w:rPr>
          <w:rFonts w:ascii="Times New Roman" w:hAnsi="Times New Roman"/>
        </w:rPr>
      </w:pPr>
      <w:r w:rsidRPr="00447C43">
        <w:rPr>
          <w:rFonts w:ascii="Times New Roman" w:hAnsi="Times New Roman"/>
          <w:color w:val="000000"/>
        </w:rPr>
        <w:t xml:space="preserve">If dynamic TDD to be considered for 6G, less complex forms </w:t>
      </w:r>
      <w:r w:rsidR="0033111D" w:rsidRPr="00447C43">
        <w:rPr>
          <w:rFonts w:ascii="Times New Roman" w:hAnsi="Times New Roman"/>
          <w:color w:val="000000"/>
        </w:rPr>
        <w:t>should</w:t>
      </w:r>
      <w:r w:rsidRPr="00447C43">
        <w:rPr>
          <w:rFonts w:ascii="Times New Roman" w:hAnsi="Times New Roman"/>
          <w:color w:val="000000"/>
        </w:rPr>
        <w:t xml:space="preserve"> be considered, such as allowing the TDD pattern to change by some cell</w:t>
      </w:r>
      <w:r w:rsidRPr="007F2D74">
        <w:rPr>
          <w:rFonts w:ascii="Times New Roman" w:hAnsi="Times New Roman"/>
          <w:color w:val="000000"/>
        </w:rPr>
        <w:t xml:space="preserve">-specific or UE-specific signalling. </w:t>
      </w:r>
    </w:p>
    <w:p w14:paraId="5E8E24E1" w14:textId="1A5C94D1" w:rsidR="00696F63" w:rsidRPr="007F2D74" w:rsidRDefault="00696F63" w:rsidP="00696F63">
      <w:pPr>
        <w:rPr>
          <w:rFonts w:ascii="Times New Roman" w:hAnsi="Times New Roman"/>
          <w:b/>
          <w:bCs/>
        </w:rPr>
      </w:pPr>
      <w:r w:rsidRPr="007F2D74">
        <w:rPr>
          <w:rFonts w:ascii="Times New Roman" w:hAnsi="Times New Roman"/>
          <w:b/>
          <w:bCs/>
        </w:rPr>
        <w:t xml:space="preserve">Proposal </w:t>
      </w:r>
      <w:r w:rsidR="00C343FF">
        <w:rPr>
          <w:rFonts w:ascii="Times New Roman" w:hAnsi="Times New Roman"/>
          <w:b/>
          <w:bCs/>
        </w:rPr>
        <w:t>12</w:t>
      </w:r>
      <w:r w:rsidRPr="007F2D74">
        <w:rPr>
          <w:rFonts w:ascii="Times New Roman" w:hAnsi="Times New Roman"/>
          <w:b/>
          <w:bCs/>
        </w:rPr>
        <w:t>: For dynamic TDD study, consider the following:</w:t>
      </w:r>
    </w:p>
    <w:p w14:paraId="05AB30DE" w14:textId="77777777" w:rsidR="00696F63" w:rsidRPr="007F2D74" w:rsidRDefault="00696F63" w:rsidP="00696F63">
      <w:pPr>
        <w:pStyle w:val="a8"/>
        <w:numPr>
          <w:ilvl w:val="0"/>
          <w:numId w:val="28"/>
        </w:numPr>
        <w:ind w:leftChars="0"/>
        <w:rPr>
          <w:rFonts w:ascii="Times New Roman" w:hAnsi="Times New Roman"/>
          <w:b/>
          <w:bCs/>
          <w:szCs w:val="20"/>
        </w:rPr>
      </w:pPr>
      <w:r w:rsidRPr="007F2D74">
        <w:rPr>
          <w:rFonts w:ascii="Times New Roman" w:hAnsi="Times New Roman"/>
          <w:b/>
          <w:bCs/>
          <w:szCs w:val="20"/>
        </w:rPr>
        <w:t>The targeted deployment to evaluate the impact of inter-</w:t>
      </w:r>
      <w:proofErr w:type="spellStart"/>
      <w:r w:rsidRPr="007F2D74">
        <w:rPr>
          <w:rFonts w:ascii="Times New Roman" w:hAnsi="Times New Roman"/>
          <w:b/>
          <w:bCs/>
          <w:szCs w:val="20"/>
        </w:rPr>
        <w:t>gNB</w:t>
      </w:r>
      <w:proofErr w:type="spellEnd"/>
      <w:r w:rsidRPr="007F2D74">
        <w:rPr>
          <w:rFonts w:ascii="Times New Roman" w:hAnsi="Times New Roman"/>
          <w:b/>
          <w:bCs/>
          <w:szCs w:val="20"/>
        </w:rPr>
        <w:t xml:space="preserve"> and inter-UE CLI.</w:t>
      </w:r>
    </w:p>
    <w:p w14:paraId="23DD8463" w14:textId="40CCA38D" w:rsidR="00696F63" w:rsidRPr="007F2D74" w:rsidRDefault="00696F63" w:rsidP="00696F63">
      <w:pPr>
        <w:pStyle w:val="a8"/>
        <w:numPr>
          <w:ilvl w:val="0"/>
          <w:numId w:val="28"/>
        </w:numPr>
        <w:spacing w:after="120"/>
        <w:ind w:leftChars="0" w:left="714" w:hanging="357"/>
        <w:rPr>
          <w:rFonts w:ascii="Times New Roman" w:hAnsi="Times New Roman"/>
          <w:b/>
          <w:bCs/>
          <w:szCs w:val="20"/>
        </w:rPr>
      </w:pPr>
      <w:r w:rsidRPr="007F2D74">
        <w:rPr>
          <w:rFonts w:ascii="Times New Roman" w:hAnsi="Times New Roman"/>
          <w:b/>
          <w:bCs/>
          <w:szCs w:val="20"/>
        </w:rPr>
        <w:t>The targeted use-case (e.g., DL/UL ratio change for coverage enhancement) for dynamic TDD.</w:t>
      </w:r>
    </w:p>
    <w:p w14:paraId="1E4ED5EA" w14:textId="39522D5B" w:rsidR="00DC07D7" w:rsidRPr="00A13346" w:rsidRDefault="00936B9D" w:rsidP="00696F63">
      <w:pPr>
        <w:spacing w:after="120"/>
        <w:jc w:val="both"/>
        <w:rPr>
          <w:rFonts w:ascii="Times New Roman" w:hAnsi="Times New Roman"/>
        </w:rPr>
      </w:pPr>
      <w:r w:rsidRPr="00936B9D">
        <w:rPr>
          <w:rFonts w:ascii="Times New Roman" w:hAnsi="Times New Roman"/>
        </w:rPr>
        <w:t xml:space="preserve">One approach to allow the </w:t>
      </w:r>
      <w:proofErr w:type="spellStart"/>
      <w:r w:rsidRPr="00936B9D">
        <w:rPr>
          <w:rFonts w:ascii="Times New Roman" w:hAnsi="Times New Roman"/>
        </w:rPr>
        <w:t>gNB</w:t>
      </w:r>
      <w:proofErr w:type="spellEnd"/>
      <w:r w:rsidRPr="00936B9D">
        <w:rPr>
          <w:rFonts w:ascii="Times New Roman" w:hAnsi="Times New Roman"/>
        </w:rPr>
        <w:t xml:space="preserve"> to change the TDD pattern without the need for flexible symbols is to predefine a specific set of TDD patterns. The </w:t>
      </w:r>
      <w:proofErr w:type="spellStart"/>
      <w:r w:rsidRPr="00936B9D">
        <w:rPr>
          <w:rFonts w:ascii="Times New Roman" w:hAnsi="Times New Roman"/>
        </w:rPr>
        <w:t>gNB</w:t>
      </w:r>
      <w:proofErr w:type="spellEnd"/>
      <w:r w:rsidRPr="00936B9D">
        <w:rPr>
          <w:rFonts w:ascii="Times New Roman" w:hAnsi="Times New Roman"/>
        </w:rPr>
        <w:t xml:space="preserve"> can then indicate to the UE(s) one of these predefined TDD patterns. Each TDD pattern will contain </w:t>
      </w:r>
      <w:r w:rsidR="00616BFF">
        <w:rPr>
          <w:rFonts w:ascii="Times New Roman" w:hAnsi="Times New Roman"/>
        </w:rPr>
        <w:t>“</w:t>
      </w:r>
      <w:r w:rsidRPr="00936B9D">
        <w:rPr>
          <w:rFonts w:ascii="Times New Roman" w:hAnsi="Times New Roman"/>
        </w:rPr>
        <w:t>D</w:t>
      </w:r>
      <w:r w:rsidR="00616BFF">
        <w:rPr>
          <w:rFonts w:ascii="Times New Roman" w:hAnsi="Times New Roman"/>
        </w:rPr>
        <w:t>”</w:t>
      </w:r>
      <w:r w:rsidRPr="00936B9D">
        <w:rPr>
          <w:rFonts w:ascii="Times New Roman" w:hAnsi="Times New Roman"/>
        </w:rPr>
        <w:t xml:space="preserve"> and </w:t>
      </w:r>
      <w:r w:rsidR="00616BFF">
        <w:rPr>
          <w:rFonts w:ascii="Times New Roman" w:hAnsi="Times New Roman"/>
        </w:rPr>
        <w:t>“</w:t>
      </w:r>
      <w:r w:rsidRPr="00936B9D">
        <w:rPr>
          <w:rFonts w:ascii="Times New Roman" w:hAnsi="Times New Roman"/>
        </w:rPr>
        <w:t>U</w:t>
      </w:r>
      <w:r w:rsidR="00616BFF">
        <w:rPr>
          <w:rFonts w:ascii="Times New Roman" w:hAnsi="Times New Roman"/>
        </w:rPr>
        <w:t>”</w:t>
      </w:r>
      <w:r w:rsidRPr="00936B9D">
        <w:rPr>
          <w:rFonts w:ascii="Times New Roman" w:hAnsi="Times New Roman"/>
        </w:rPr>
        <w:t xml:space="preserve"> symbols, as well as a guard period. It is important to provide the UE with </w:t>
      </w:r>
      <w:r w:rsidRPr="00A13346">
        <w:rPr>
          <w:rFonts w:ascii="Times New Roman" w:hAnsi="Times New Roman"/>
        </w:rPr>
        <w:t>sufficient processing time to change the TDD pattern and apply the new configurations.</w:t>
      </w:r>
    </w:p>
    <w:p w14:paraId="016EB297" w14:textId="05B7539D" w:rsidR="00936B9D" w:rsidRPr="00A13346" w:rsidRDefault="00936B9D" w:rsidP="000A3F0A">
      <w:pPr>
        <w:spacing w:after="120"/>
        <w:rPr>
          <w:rFonts w:ascii="Times New Roman" w:hAnsi="Times New Roman"/>
          <w:b/>
          <w:bCs/>
        </w:rPr>
      </w:pPr>
      <w:r w:rsidRPr="00A13346">
        <w:rPr>
          <w:rFonts w:ascii="Times New Roman" w:hAnsi="Times New Roman"/>
          <w:b/>
          <w:bCs/>
        </w:rPr>
        <w:t>Proposal 1</w:t>
      </w:r>
      <w:r w:rsidR="000A3F0A" w:rsidRPr="00A13346">
        <w:rPr>
          <w:rFonts w:ascii="Times New Roman" w:hAnsi="Times New Roman"/>
          <w:b/>
          <w:bCs/>
        </w:rPr>
        <w:t>3</w:t>
      </w:r>
      <w:r w:rsidRPr="00A13346">
        <w:rPr>
          <w:rFonts w:ascii="Times New Roman" w:hAnsi="Times New Roman"/>
          <w:b/>
          <w:bCs/>
        </w:rPr>
        <w:t>: For TDD operation in 6G, define only “D” symbols, “U” symbols, and guard period.</w:t>
      </w:r>
    </w:p>
    <w:p w14:paraId="4DFDDD6C" w14:textId="2C2BD5EA" w:rsidR="00936B9D" w:rsidRPr="00A13346" w:rsidRDefault="00936B9D" w:rsidP="00D76F13">
      <w:pPr>
        <w:jc w:val="both"/>
        <w:rPr>
          <w:rFonts w:ascii="Times New Roman" w:hAnsi="Times New Roman"/>
          <w:b/>
          <w:bCs/>
        </w:rPr>
      </w:pPr>
      <w:r w:rsidRPr="00A13346">
        <w:rPr>
          <w:rFonts w:ascii="Times New Roman" w:hAnsi="Times New Roman"/>
          <w:b/>
          <w:bCs/>
        </w:rPr>
        <w:t>Proposal 1</w:t>
      </w:r>
      <w:r w:rsidR="000A3F0A" w:rsidRPr="00A13346">
        <w:rPr>
          <w:rFonts w:ascii="Times New Roman" w:hAnsi="Times New Roman"/>
          <w:b/>
          <w:bCs/>
        </w:rPr>
        <w:t>4</w:t>
      </w:r>
      <w:r w:rsidRPr="00A13346">
        <w:rPr>
          <w:rFonts w:ascii="Times New Roman" w:hAnsi="Times New Roman"/>
          <w:b/>
          <w:bCs/>
        </w:rPr>
        <w:t>:</w:t>
      </w:r>
      <w:r w:rsidR="008303A3" w:rsidRPr="00A13346">
        <w:rPr>
          <w:rFonts w:ascii="Times New Roman" w:hAnsi="Times New Roman"/>
          <w:b/>
          <w:bCs/>
        </w:rPr>
        <w:t xml:space="preserve"> </w:t>
      </w:r>
      <w:r w:rsidRPr="00A13346">
        <w:rPr>
          <w:rFonts w:ascii="Times New Roman" w:hAnsi="Times New Roman"/>
          <w:b/>
          <w:bCs/>
        </w:rPr>
        <w:t>If dynamic TDD to be supported, 6G should adopt the indication of a TDD pattern out of predefined TDD patterns</w:t>
      </w:r>
      <w:r w:rsidR="00792956" w:rsidRPr="00A13346">
        <w:rPr>
          <w:rFonts w:ascii="Times New Roman" w:hAnsi="Times New Roman"/>
          <w:b/>
          <w:bCs/>
        </w:rPr>
        <w:t>.</w:t>
      </w:r>
    </w:p>
    <w:p w14:paraId="3A31B8A2" w14:textId="77777777" w:rsidR="00936B9D" w:rsidRPr="00A13346" w:rsidRDefault="00936B9D" w:rsidP="00D76F13">
      <w:pPr>
        <w:pStyle w:val="a8"/>
        <w:numPr>
          <w:ilvl w:val="0"/>
          <w:numId w:val="39"/>
        </w:numPr>
        <w:ind w:leftChars="0"/>
        <w:jc w:val="both"/>
        <w:rPr>
          <w:rFonts w:ascii="Times New Roman" w:hAnsi="Times New Roman"/>
          <w:b/>
          <w:bCs/>
        </w:rPr>
      </w:pPr>
      <w:r w:rsidRPr="00A13346">
        <w:rPr>
          <w:rFonts w:ascii="Times New Roman" w:hAnsi="Times New Roman"/>
          <w:b/>
          <w:bCs/>
        </w:rPr>
        <w:t>No need to support Flexible symbols.</w:t>
      </w:r>
    </w:p>
    <w:p w14:paraId="321577EB" w14:textId="1848C171" w:rsidR="00936B9D" w:rsidRPr="00936B9D" w:rsidRDefault="00936B9D" w:rsidP="00936B9D">
      <w:pPr>
        <w:pStyle w:val="a8"/>
        <w:numPr>
          <w:ilvl w:val="0"/>
          <w:numId w:val="39"/>
        </w:numPr>
        <w:spacing w:after="120"/>
        <w:ind w:leftChars="0"/>
        <w:jc w:val="both"/>
        <w:rPr>
          <w:rFonts w:ascii="Times New Roman" w:hAnsi="Times New Roman"/>
          <w:b/>
          <w:bCs/>
        </w:rPr>
      </w:pPr>
      <w:r w:rsidRPr="00A13346">
        <w:rPr>
          <w:rFonts w:ascii="Times New Roman" w:hAnsi="Times New Roman"/>
          <w:b/>
          <w:bCs/>
        </w:rPr>
        <w:t>The UE should be provided with sufficient</w:t>
      </w:r>
      <w:r w:rsidRPr="00936B9D">
        <w:rPr>
          <w:rFonts w:ascii="Times New Roman" w:hAnsi="Times New Roman"/>
          <w:b/>
          <w:bCs/>
        </w:rPr>
        <w:t xml:space="preserve"> processing time to apply the TDD pattern change.</w:t>
      </w:r>
    </w:p>
    <w:p w14:paraId="3B19FB1C" w14:textId="3450E430" w:rsidR="00696F63" w:rsidRPr="00447C43" w:rsidRDefault="00696F63" w:rsidP="00696F63">
      <w:pPr>
        <w:spacing w:after="120"/>
        <w:jc w:val="both"/>
        <w:rPr>
          <w:rFonts w:ascii="Times New Roman" w:hAnsi="Times New Roman"/>
        </w:rPr>
      </w:pPr>
      <w:proofErr w:type="spellStart"/>
      <w:r w:rsidRPr="00447C43">
        <w:rPr>
          <w:rFonts w:ascii="Times New Roman" w:hAnsi="Times New Roman"/>
        </w:rPr>
        <w:t>gNB</w:t>
      </w:r>
      <w:proofErr w:type="spellEnd"/>
      <w:r w:rsidRPr="00447C43">
        <w:rPr>
          <w:rFonts w:ascii="Times New Roman" w:hAnsi="Times New Roman"/>
        </w:rPr>
        <w:t xml:space="preserve">-SBFD has been specified for NR in R19 and can provide significant benefits in 6G. Compared to TDD, </w:t>
      </w:r>
      <w:proofErr w:type="spellStart"/>
      <w:r w:rsidRPr="00447C43">
        <w:rPr>
          <w:rFonts w:ascii="Times New Roman" w:hAnsi="Times New Roman"/>
        </w:rPr>
        <w:t>gNB</w:t>
      </w:r>
      <w:proofErr w:type="spellEnd"/>
      <w:r w:rsidRPr="00447C43">
        <w:rPr>
          <w:rFonts w:ascii="Times New Roman" w:hAnsi="Times New Roman"/>
        </w:rPr>
        <w:t xml:space="preserve">-SBFD offers advantages in terms of UL coverage, throughput, and latency. With the introduction of new “greenfield” bands in 6G, network side-SBFD can be deployed without the issue of co-channel CLI with neighbouring non-SBFD legacy </w:t>
      </w:r>
      <w:proofErr w:type="spellStart"/>
      <w:r w:rsidRPr="00447C43">
        <w:rPr>
          <w:rFonts w:ascii="Times New Roman" w:hAnsi="Times New Roman"/>
        </w:rPr>
        <w:t>gNBs</w:t>
      </w:r>
      <w:proofErr w:type="spellEnd"/>
      <w:r w:rsidRPr="00447C43">
        <w:rPr>
          <w:rFonts w:ascii="Times New Roman" w:hAnsi="Times New Roman"/>
        </w:rPr>
        <w:t xml:space="preserve"> in the same carrier. However, to achieve this and to ensure optimal SBFD awareness, it is important that SBFD is catered for in the initial 6G basic design. Prior to that, SBFD operation will need to be fully catered for in the 6G study phase.</w:t>
      </w:r>
    </w:p>
    <w:p w14:paraId="6EC3353D" w14:textId="77777777" w:rsidR="00696F63" w:rsidRPr="00447C43" w:rsidRDefault="00696F63" w:rsidP="00696F63">
      <w:pPr>
        <w:spacing w:after="120"/>
        <w:jc w:val="both"/>
        <w:rPr>
          <w:rFonts w:ascii="Times New Roman" w:hAnsi="Times New Roman"/>
        </w:rPr>
      </w:pPr>
      <w:r w:rsidRPr="00447C43">
        <w:rPr>
          <w:rFonts w:ascii="Times New Roman" w:hAnsi="Times New Roman"/>
        </w:rPr>
        <w:t>However, like flexible symbols in dynamic TDD, both transmission directions are valid in SBFD symbols in R19. This led to the same UE complexity and issues as flexible TDD. One approach to address this issue is to provide UE-specific link direction (e.g., via RRC or MAC-CE) to indicate to the UE which direction (UL or DL) are valid for that UE on a given SBFD symbols.</w:t>
      </w:r>
    </w:p>
    <w:p w14:paraId="51DE5DB8" w14:textId="12A6544A" w:rsidR="00696F63" w:rsidRPr="00447C43" w:rsidRDefault="00696F63" w:rsidP="00696F63">
      <w:pPr>
        <w:spacing w:after="120"/>
        <w:rPr>
          <w:rFonts w:ascii="Times New Roman" w:hAnsi="Times New Roman"/>
          <w:b/>
          <w:bCs/>
        </w:rPr>
      </w:pPr>
      <w:r w:rsidRPr="00447C43">
        <w:rPr>
          <w:rFonts w:ascii="Times New Roman" w:hAnsi="Times New Roman"/>
          <w:b/>
          <w:bCs/>
        </w:rPr>
        <w:t xml:space="preserve">Observation </w:t>
      </w:r>
      <w:r w:rsidR="00C343FF">
        <w:rPr>
          <w:rFonts w:ascii="Times New Roman" w:hAnsi="Times New Roman"/>
          <w:b/>
          <w:bCs/>
        </w:rPr>
        <w:t>1</w:t>
      </w:r>
      <w:r w:rsidR="00232993">
        <w:rPr>
          <w:rFonts w:ascii="Times New Roman" w:hAnsi="Times New Roman"/>
          <w:b/>
          <w:bCs/>
        </w:rPr>
        <w:t>0</w:t>
      </w:r>
      <w:r w:rsidRPr="00447C43">
        <w:rPr>
          <w:rFonts w:ascii="Times New Roman" w:hAnsi="Times New Roman"/>
          <w:b/>
          <w:bCs/>
        </w:rPr>
        <w:t>: SBFD improves the system performance in unpaired spectrum in terms of latency and UL coverage/throughput, and performance can be maximised in new bands with SBFD-aware equipment.</w:t>
      </w:r>
    </w:p>
    <w:p w14:paraId="5ABE3FB9" w14:textId="44E28082" w:rsidR="00696F63" w:rsidRPr="00A13346" w:rsidRDefault="00696F63" w:rsidP="00696F63">
      <w:pPr>
        <w:spacing w:after="120"/>
        <w:rPr>
          <w:rFonts w:ascii="Times New Roman" w:hAnsi="Times New Roman"/>
          <w:b/>
          <w:bCs/>
        </w:rPr>
      </w:pPr>
      <w:r w:rsidRPr="00A13346">
        <w:rPr>
          <w:rFonts w:ascii="Times New Roman" w:hAnsi="Times New Roman"/>
          <w:b/>
          <w:bCs/>
        </w:rPr>
        <w:t xml:space="preserve">Proposal </w:t>
      </w:r>
      <w:r w:rsidR="00C343FF" w:rsidRPr="00A13346">
        <w:rPr>
          <w:rFonts w:ascii="Times New Roman" w:hAnsi="Times New Roman"/>
          <w:b/>
          <w:bCs/>
        </w:rPr>
        <w:t>1</w:t>
      </w:r>
      <w:r w:rsidR="000A3F0A" w:rsidRPr="00A13346">
        <w:rPr>
          <w:rFonts w:ascii="Times New Roman" w:hAnsi="Times New Roman"/>
          <w:b/>
          <w:bCs/>
        </w:rPr>
        <w:t>5</w:t>
      </w:r>
      <w:r w:rsidRPr="00A13346">
        <w:rPr>
          <w:rFonts w:ascii="Times New Roman" w:hAnsi="Times New Roman"/>
          <w:b/>
          <w:bCs/>
        </w:rPr>
        <w:t>: Study TDD enhanced with SBFD as a fundamental 6G design component for unpaired bands.</w:t>
      </w:r>
    </w:p>
    <w:p w14:paraId="4F9F7AEA" w14:textId="123E44C8" w:rsidR="00696F63" w:rsidRPr="007F2D74" w:rsidRDefault="00696F63" w:rsidP="00696F63">
      <w:pPr>
        <w:spacing w:after="120"/>
        <w:rPr>
          <w:rFonts w:ascii="Times New Roman" w:hAnsi="Times New Roman"/>
          <w:b/>
          <w:bCs/>
        </w:rPr>
      </w:pPr>
      <w:r w:rsidRPr="00A13346">
        <w:rPr>
          <w:rFonts w:ascii="Times New Roman" w:hAnsi="Times New Roman"/>
          <w:b/>
          <w:bCs/>
        </w:rPr>
        <w:t xml:space="preserve">Proposal </w:t>
      </w:r>
      <w:r w:rsidR="00C343FF" w:rsidRPr="00A13346">
        <w:rPr>
          <w:rFonts w:ascii="Times New Roman" w:hAnsi="Times New Roman"/>
          <w:b/>
          <w:bCs/>
        </w:rPr>
        <w:t>1</w:t>
      </w:r>
      <w:r w:rsidR="000A3F0A" w:rsidRPr="00A13346">
        <w:rPr>
          <w:rFonts w:ascii="Times New Roman" w:hAnsi="Times New Roman"/>
          <w:b/>
          <w:bCs/>
        </w:rPr>
        <w:t>6</w:t>
      </w:r>
      <w:r w:rsidRPr="00A13346">
        <w:rPr>
          <w:rFonts w:ascii="Times New Roman" w:hAnsi="Times New Roman"/>
          <w:b/>
          <w:bCs/>
        </w:rPr>
        <w:t xml:space="preserve">: If </w:t>
      </w:r>
      <w:r w:rsidR="00375F8C" w:rsidRPr="00A13346">
        <w:rPr>
          <w:rFonts w:ascii="Times New Roman" w:hAnsi="Times New Roman"/>
          <w:b/>
          <w:bCs/>
        </w:rPr>
        <w:t xml:space="preserve">network-side SBFD </w:t>
      </w:r>
      <w:r w:rsidRPr="00A13346">
        <w:rPr>
          <w:rFonts w:ascii="Times New Roman" w:hAnsi="Times New Roman"/>
          <w:b/>
          <w:bCs/>
        </w:rPr>
        <w:t>is supported in 6G, link direction should be provided to the UE (half-duplex UEs).</w:t>
      </w:r>
    </w:p>
    <w:p w14:paraId="343B53A0" w14:textId="71C0151C" w:rsidR="00696F63" w:rsidRPr="007F2D74" w:rsidRDefault="00696F63" w:rsidP="00696F63">
      <w:pPr>
        <w:spacing w:after="120"/>
        <w:jc w:val="both"/>
        <w:rPr>
          <w:rFonts w:ascii="Times New Roman" w:hAnsi="Times New Roman"/>
        </w:rPr>
      </w:pPr>
      <w:r w:rsidRPr="007F2D74">
        <w:rPr>
          <w:rFonts w:ascii="Times New Roman" w:hAnsi="Times New Roman"/>
        </w:rPr>
        <w:t xml:space="preserve">UE-SBFD can further enhance performance compared to network-side SBFD by eliminating the half-duplex trade-off at the UE, allowing simultaneous transport of both downlink and uplink traffic for the same UE. UE-SBFD can be opportunistically enabled in favourable conditions to avoid high self-interference, such as with narrow uplink allocation and low transmission power. Additionally, more dynamic “frequency separation” can be ensured between </w:t>
      </w:r>
      <w:r w:rsidRPr="007F2D74">
        <w:rPr>
          <w:rFonts w:ascii="Times New Roman" w:hAnsi="Times New Roman"/>
        </w:rPr>
        <w:lastRenderedPageBreak/>
        <w:t xml:space="preserve">the uplink and downlink allocations at the UE to reduce self-interference, without impacting system spectral efficiency. Implementing SBFD at both the </w:t>
      </w:r>
      <w:proofErr w:type="spellStart"/>
      <w:r w:rsidRPr="007F2D74">
        <w:rPr>
          <w:rFonts w:ascii="Times New Roman" w:hAnsi="Times New Roman"/>
        </w:rPr>
        <w:t>gNB</w:t>
      </w:r>
      <w:proofErr w:type="spellEnd"/>
      <w:r w:rsidRPr="007F2D74">
        <w:rPr>
          <w:rFonts w:ascii="Times New Roman" w:hAnsi="Times New Roman"/>
        </w:rPr>
        <w:t xml:space="preserve"> and UE can significantly improve uplink latency performance and system capacity compared to TDD operation, which is essential for latency-sensitive applications like XR (see Figure </w:t>
      </w:r>
      <w:r w:rsidR="00D8002F">
        <w:rPr>
          <w:rFonts w:ascii="Times New Roman" w:hAnsi="Times New Roman"/>
        </w:rPr>
        <w:t>11</w:t>
      </w:r>
      <w:r w:rsidRPr="007F2D74">
        <w:rPr>
          <w:rFonts w:ascii="Times New Roman" w:hAnsi="Times New Roman"/>
        </w:rPr>
        <w:t>).</w:t>
      </w:r>
    </w:p>
    <w:p w14:paraId="6303FB30" w14:textId="14BA6E15" w:rsidR="00696F63" w:rsidRPr="00696F63" w:rsidRDefault="00696F63" w:rsidP="00375F8C">
      <w:pPr>
        <w:jc w:val="both"/>
      </w:pPr>
      <w:r w:rsidRPr="00696F63">
        <w:rPr>
          <w:noProof/>
        </w:rPr>
        <w:drawing>
          <wp:inline distT="0" distB="0" distL="0" distR="0" wp14:anchorId="6B3ABC90" wp14:editId="45DACC89">
            <wp:extent cx="3305810" cy="2049145"/>
            <wp:effectExtent l="19050" t="19050" r="27940" b="273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l="7375" t="2924" r="3362" b="1633"/>
                    <a:stretch>
                      <a:fillRect/>
                    </a:stretch>
                  </pic:blipFill>
                  <pic:spPr bwMode="auto">
                    <a:xfrm>
                      <a:off x="0" y="0"/>
                      <a:ext cx="3305810" cy="2049145"/>
                    </a:xfrm>
                    <a:prstGeom prst="rect">
                      <a:avLst/>
                    </a:prstGeom>
                    <a:noFill/>
                    <a:ln w="9525" cmpd="sng">
                      <a:solidFill>
                        <a:srgbClr val="000000"/>
                      </a:solidFill>
                      <a:miter lim="800000"/>
                      <a:headEnd/>
                      <a:tailEnd/>
                    </a:ln>
                    <a:effectLst/>
                  </pic:spPr>
                </pic:pic>
              </a:graphicData>
            </a:graphic>
          </wp:inline>
        </w:drawing>
      </w:r>
      <w:r w:rsidRPr="00696F63">
        <w:t xml:space="preserve">     </w:t>
      </w:r>
      <w:r w:rsidRPr="00696F63">
        <w:rPr>
          <w:noProof/>
        </w:rPr>
        <w:drawing>
          <wp:inline distT="0" distB="0" distL="0" distR="0" wp14:anchorId="4760D3B4" wp14:editId="61F48E4E">
            <wp:extent cx="2342515" cy="2049145"/>
            <wp:effectExtent l="19050" t="19050" r="19685" b="273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l="2193" t="12938" r="2158" b="3252"/>
                    <a:stretch>
                      <a:fillRect/>
                    </a:stretch>
                  </pic:blipFill>
                  <pic:spPr bwMode="auto">
                    <a:xfrm>
                      <a:off x="0" y="0"/>
                      <a:ext cx="2342515" cy="2049145"/>
                    </a:xfrm>
                    <a:prstGeom prst="rect">
                      <a:avLst/>
                    </a:prstGeom>
                    <a:noFill/>
                    <a:ln w="9525" cmpd="sng">
                      <a:solidFill>
                        <a:srgbClr val="000000"/>
                      </a:solidFill>
                      <a:miter lim="800000"/>
                      <a:headEnd/>
                      <a:tailEnd/>
                    </a:ln>
                    <a:effectLst/>
                  </pic:spPr>
                </pic:pic>
              </a:graphicData>
            </a:graphic>
          </wp:inline>
        </w:drawing>
      </w:r>
    </w:p>
    <w:p w14:paraId="2AC84704" w14:textId="70D7C38A" w:rsidR="00696F63" w:rsidRDefault="00696F63" w:rsidP="00375F8C">
      <w:pPr>
        <w:spacing w:before="60"/>
        <w:jc w:val="center"/>
        <w:rPr>
          <w:rFonts w:eastAsia="新細明體"/>
          <w:lang w:eastAsia="zh-TW"/>
        </w:rPr>
      </w:pPr>
      <w:r w:rsidRPr="00696F63">
        <w:t xml:space="preserve">Figure </w:t>
      </w:r>
      <w:r w:rsidR="00D8002F">
        <w:t>1</w:t>
      </w:r>
      <w:r w:rsidR="00232993">
        <w:t>1</w:t>
      </w:r>
      <w:r w:rsidRPr="00696F63">
        <w:t>. UL performance gains with SBFD: Dense Urban, XR Traffic (10Mbps data-rate, 30ms PDB), FR1/4GHz</w:t>
      </w:r>
      <w:r w:rsidRPr="00696F63">
        <w:rPr>
          <w:rFonts w:eastAsia="新細明體"/>
          <w:lang w:eastAsia="zh-TW"/>
        </w:rPr>
        <w:t>.</w:t>
      </w:r>
    </w:p>
    <w:p w14:paraId="060AB653" w14:textId="77777777" w:rsidR="00397DA9" w:rsidRPr="007F2D74" w:rsidRDefault="00397DA9" w:rsidP="00696F63">
      <w:pPr>
        <w:spacing w:before="120"/>
        <w:jc w:val="center"/>
        <w:rPr>
          <w:rFonts w:ascii="Times New Roman" w:hAnsi="Times New Roman"/>
        </w:rPr>
      </w:pPr>
    </w:p>
    <w:p w14:paraId="6059317A" w14:textId="54C1FD55" w:rsidR="00696F63" w:rsidRPr="00447C43" w:rsidRDefault="00696F63" w:rsidP="00714FFF">
      <w:pPr>
        <w:spacing w:after="120"/>
        <w:rPr>
          <w:rFonts w:ascii="Times New Roman" w:hAnsi="Times New Roman"/>
          <w:b/>
          <w:bCs/>
        </w:rPr>
      </w:pPr>
      <w:r w:rsidRPr="00447C43">
        <w:rPr>
          <w:rFonts w:ascii="Times New Roman" w:hAnsi="Times New Roman"/>
          <w:b/>
          <w:bCs/>
        </w:rPr>
        <w:t xml:space="preserve">Observation </w:t>
      </w:r>
      <w:r w:rsidR="00232993">
        <w:rPr>
          <w:rFonts w:ascii="Times New Roman" w:hAnsi="Times New Roman"/>
          <w:b/>
          <w:bCs/>
        </w:rPr>
        <w:t>11</w:t>
      </w:r>
      <w:r w:rsidRPr="00447C43">
        <w:rPr>
          <w:rFonts w:ascii="Times New Roman" w:hAnsi="Times New Roman"/>
          <w:b/>
          <w:bCs/>
        </w:rPr>
        <w:t>: UE-SBFD further improves the capacity for latency-bound services and coverage by eliminating the trade-off between DL and UL transmissions.</w:t>
      </w:r>
    </w:p>
    <w:p w14:paraId="5C6318C7" w14:textId="597C0421" w:rsidR="00696F63" w:rsidRPr="00447C43" w:rsidRDefault="00696F63" w:rsidP="00447C43">
      <w:pPr>
        <w:spacing w:after="240"/>
        <w:rPr>
          <w:rFonts w:ascii="Times New Roman" w:hAnsi="Times New Roman"/>
          <w:b/>
          <w:bCs/>
        </w:rPr>
      </w:pPr>
      <w:r w:rsidRPr="00447C43">
        <w:rPr>
          <w:rFonts w:ascii="Times New Roman" w:hAnsi="Times New Roman"/>
          <w:b/>
          <w:bCs/>
        </w:rPr>
        <w:t xml:space="preserve">Proposal </w:t>
      </w:r>
      <w:r w:rsidR="00714FFF" w:rsidRPr="00447C43">
        <w:rPr>
          <w:rFonts w:ascii="Times New Roman" w:hAnsi="Times New Roman"/>
          <w:b/>
          <w:bCs/>
        </w:rPr>
        <w:t>1</w:t>
      </w:r>
      <w:r w:rsidR="000A3F0A">
        <w:rPr>
          <w:rFonts w:ascii="Times New Roman" w:hAnsi="Times New Roman"/>
          <w:b/>
          <w:bCs/>
        </w:rPr>
        <w:t>7</w:t>
      </w:r>
      <w:r w:rsidRPr="00447C43">
        <w:rPr>
          <w:rFonts w:ascii="Times New Roman" w:hAnsi="Times New Roman"/>
          <w:b/>
          <w:bCs/>
        </w:rPr>
        <w:t>: Study UE-side SBFD on top of network-side SBFD for 6G.</w:t>
      </w:r>
    </w:p>
    <w:p w14:paraId="5A789EB6" w14:textId="644E4ACC" w:rsidR="005A2660" w:rsidRPr="00696F63" w:rsidRDefault="00592867" w:rsidP="007900F6">
      <w:pPr>
        <w:pStyle w:val="1"/>
        <w:numPr>
          <w:ilvl w:val="0"/>
          <w:numId w:val="1"/>
        </w:numPr>
        <w:pBdr>
          <w:top w:val="single" w:sz="12" w:space="3" w:color="auto"/>
        </w:pBdr>
        <w:spacing w:after="180"/>
        <w:rPr>
          <w:rFonts w:ascii="Arial" w:hAnsi="Arial" w:cs="Arial"/>
          <w:color w:val="000000"/>
          <w:sz w:val="36"/>
          <w:szCs w:val="36"/>
          <w:lang w:eastAsia="zh-TW"/>
        </w:rPr>
      </w:pPr>
      <w:bookmarkStart w:id="10" w:name="OLE_LINK203"/>
      <w:bookmarkEnd w:id="4"/>
      <w:bookmarkEnd w:id="5"/>
      <w:bookmarkEnd w:id="8"/>
      <w:bookmarkEnd w:id="9"/>
      <w:r w:rsidRPr="00696F63">
        <w:rPr>
          <w:rFonts w:ascii="Arial" w:hAnsi="Arial" w:cs="Arial"/>
          <w:color w:val="000000"/>
          <w:sz w:val="36"/>
          <w:szCs w:val="36"/>
          <w:lang w:eastAsia="zh-TW"/>
        </w:rPr>
        <w:t>Conclusion</w:t>
      </w:r>
    </w:p>
    <w:bookmarkEnd w:id="10"/>
    <w:p w14:paraId="29874DD7" w14:textId="4FAC19E0" w:rsidR="009C21D4" w:rsidRPr="00696F63" w:rsidRDefault="00A9148F" w:rsidP="00705B2A">
      <w:pPr>
        <w:rPr>
          <w:lang w:eastAsia="zh-TW"/>
        </w:rPr>
      </w:pPr>
      <w:r w:rsidRPr="00696F63">
        <w:t xml:space="preserve">In this contribution, we focus on the discussions </w:t>
      </w:r>
      <w:r w:rsidR="00552A92" w:rsidRPr="00696F63">
        <w:rPr>
          <w:lang w:eastAsia="zh-TW"/>
        </w:rPr>
        <w:t xml:space="preserve">of </w:t>
      </w:r>
      <w:r w:rsidR="006D3AA9" w:rsidRPr="00696F63">
        <w:rPr>
          <w:lang w:eastAsia="zh-TW"/>
        </w:rPr>
        <w:t>6G SI on frame structure and numerology,</w:t>
      </w:r>
      <w:r w:rsidR="003908C8" w:rsidRPr="00696F63">
        <w:t xml:space="preserve"> </w:t>
      </w:r>
      <w:r w:rsidRPr="00696F63">
        <w:rPr>
          <w:lang w:eastAsia="zh-TW"/>
        </w:rPr>
        <w:t xml:space="preserve">and have the following </w:t>
      </w:r>
      <w:r w:rsidR="006D3AA9" w:rsidRPr="00696F63">
        <w:rPr>
          <w:lang w:eastAsia="zh-TW"/>
        </w:rPr>
        <w:t>observations/</w:t>
      </w:r>
      <w:r w:rsidRPr="00696F63">
        <w:rPr>
          <w:lang w:eastAsia="zh-TW"/>
        </w:rPr>
        <w:t>proposals:</w:t>
      </w:r>
    </w:p>
    <w:p w14:paraId="3064305C" w14:textId="77777777" w:rsidR="00E24DAB" w:rsidRPr="00696F63" w:rsidRDefault="00E24DAB" w:rsidP="00705B2A">
      <w:pPr>
        <w:rPr>
          <w:rFonts w:eastAsiaTheme="minorEastAsia"/>
          <w:lang w:eastAsia="zh-TW"/>
        </w:rPr>
      </w:pPr>
    </w:p>
    <w:p w14:paraId="0A16B559" w14:textId="2B2B261D" w:rsidR="00E62925" w:rsidRPr="00696F63" w:rsidRDefault="00E24DAB" w:rsidP="00705B2A">
      <w:pPr>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6G </w:t>
      </w:r>
      <w:r w:rsidR="00E62925" w:rsidRPr="00696F63">
        <w:rPr>
          <w:rFonts w:ascii="Times New Roman" w:eastAsiaTheme="minorEastAsia" w:hAnsi="Times New Roman"/>
          <w:color w:val="000000"/>
          <w:kern w:val="24"/>
          <w:szCs w:val="20"/>
          <w:lang w:eastAsia="zh-TW"/>
        </w:rPr>
        <w:t>n</w:t>
      </w:r>
      <w:r w:rsidRPr="00696F63">
        <w:rPr>
          <w:rFonts w:ascii="Times New Roman" w:eastAsiaTheme="minorEastAsia" w:hAnsi="Times New Roman"/>
          <w:color w:val="000000"/>
          <w:kern w:val="24"/>
          <w:szCs w:val="20"/>
          <w:lang w:eastAsia="zh-TW"/>
        </w:rPr>
        <w:t>umerology</w:t>
      </w:r>
      <w:r w:rsidR="00940177" w:rsidRPr="00696F63">
        <w:rPr>
          <w:rFonts w:ascii="Times New Roman" w:eastAsiaTheme="minorEastAsia" w:hAnsi="Times New Roman"/>
          <w:color w:val="000000"/>
          <w:kern w:val="24"/>
          <w:szCs w:val="20"/>
          <w:lang w:eastAsia="zh-TW"/>
        </w:rPr>
        <w:t xml:space="preserve"> </w:t>
      </w:r>
      <w:r w:rsidR="00E62925" w:rsidRPr="00696F63">
        <w:rPr>
          <w:rFonts w:ascii="Times New Roman" w:eastAsiaTheme="minorEastAsia" w:hAnsi="Times New Roman"/>
          <w:color w:val="000000"/>
          <w:kern w:val="24"/>
          <w:szCs w:val="20"/>
          <w:lang w:eastAsia="zh-TW"/>
        </w:rPr>
        <w:t>r</w:t>
      </w:r>
      <w:r w:rsidR="00940177" w:rsidRPr="00696F63">
        <w:rPr>
          <w:rFonts w:ascii="Times New Roman" w:eastAsiaTheme="minorEastAsia" w:hAnsi="Times New Roman"/>
          <w:color w:val="000000"/>
          <w:kern w:val="24"/>
          <w:szCs w:val="20"/>
          <w:lang w:eastAsia="zh-TW"/>
        </w:rPr>
        <w:t>elated</w:t>
      </w:r>
      <w:r w:rsidR="00E62925" w:rsidRPr="00696F63">
        <w:rPr>
          <w:rFonts w:ascii="Times New Roman" w:eastAsiaTheme="minorEastAsia" w:hAnsi="Times New Roman"/>
          <w:color w:val="000000"/>
          <w:kern w:val="24"/>
          <w:szCs w:val="20"/>
          <w:lang w:eastAsia="zh-TW"/>
        </w:rPr>
        <w:t xml:space="preserve"> observations/proposals</w:t>
      </w:r>
      <w:r w:rsidRPr="00696F63">
        <w:rPr>
          <w:rFonts w:ascii="Times New Roman" w:eastAsiaTheme="minorEastAsia" w:hAnsi="Times New Roman"/>
          <w:color w:val="000000"/>
          <w:kern w:val="24"/>
          <w:szCs w:val="20"/>
          <w:lang w:eastAsia="zh-TW"/>
        </w:rPr>
        <w:t>:</w:t>
      </w:r>
    </w:p>
    <w:p w14:paraId="1BE2EE12" w14:textId="77777777" w:rsidR="006632A3" w:rsidRDefault="006632A3" w:rsidP="00705B2A">
      <w:pPr>
        <w:rPr>
          <w:rFonts w:ascii="Times New Roman" w:eastAsiaTheme="minorEastAsia" w:hAnsi="Times New Roman"/>
          <w:color w:val="000000"/>
          <w:kern w:val="24"/>
          <w:szCs w:val="20"/>
          <w:lang w:eastAsia="zh-TW"/>
        </w:rPr>
      </w:pPr>
    </w:p>
    <w:p w14:paraId="2379B55B"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1</w:t>
      </w:r>
      <w:r>
        <w:rPr>
          <w:rFonts w:ascii="Times New Roman" w:eastAsia="新細明體" w:hAnsi="Times New Roman"/>
          <w:b/>
          <w:bCs/>
          <w:szCs w:val="20"/>
          <w:lang w:eastAsia="zh-TW"/>
        </w:rPr>
        <w:t>: In 5G, the most commonly used CBW for FR1 and FR2 are both 100MHz in the field.</w:t>
      </w:r>
    </w:p>
    <w:p w14:paraId="0F2F1E5B" w14:textId="77777777" w:rsidR="006A24F5" w:rsidRDefault="006A24F5" w:rsidP="006A24F5">
      <w:pPr>
        <w:rPr>
          <w:rFonts w:ascii="Times New Roman" w:eastAsia="新細明體" w:hAnsi="Times New Roman"/>
          <w:b/>
          <w:bCs/>
          <w:szCs w:val="20"/>
          <w:lang w:eastAsia="zh-TW"/>
        </w:rPr>
      </w:pPr>
    </w:p>
    <w:p w14:paraId="1DAC48AD"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2</w:t>
      </w:r>
      <w:r>
        <w:rPr>
          <w:rFonts w:ascii="Times New Roman" w:eastAsia="新細明體" w:hAnsi="Times New Roman"/>
          <w:b/>
          <w:bCs/>
          <w:szCs w:val="20"/>
          <w:lang w:eastAsia="zh-TW"/>
        </w:rPr>
        <w:t>: In 5G, the most commonly used SCS (subcarrier spacing) is 15kHz for FR1 FDD, 30kHz for FR1 TDD, and 120kHz for FR2.</w:t>
      </w:r>
    </w:p>
    <w:p w14:paraId="756CD07D" w14:textId="77777777" w:rsidR="006A24F5" w:rsidRDefault="006A24F5" w:rsidP="006A24F5">
      <w:pPr>
        <w:rPr>
          <w:rFonts w:ascii="Times New Roman" w:eastAsia="新細明體" w:hAnsi="Times New Roman"/>
          <w:szCs w:val="20"/>
          <w:lang w:eastAsia="zh-TW"/>
        </w:rPr>
      </w:pPr>
    </w:p>
    <w:p w14:paraId="6A873BBA"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1</w:t>
      </w:r>
      <w:r>
        <w:rPr>
          <w:rFonts w:ascii="Times New Roman" w:eastAsia="新細明體" w:hAnsi="Times New Roman"/>
          <w:b/>
          <w:bCs/>
          <w:szCs w:val="20"/>
          <w:lang w:eastAsia="zh-TW"/>
        </w:rPr>
        <w:t>: For a given duplex mode (</w:t>
      </w:r>
      <w:proofErr w:type="gramStart"/>
      <w:r>
        <w:rPr>
          <w:rFonts w:ascii="Times New Roman" w:eastAsia="新細明體" w:hAnsi="Times New Roman"/>
          <w:b/>
          <w:bCs/>
          <w:szCs w:val="20"/>
          <w:lang w:eastAsia="zh-TW"/>
        </w:rPr>
        <w:t>e.g.</w:t>
      </w:r>
      <w:proofErr w:type="gramEnd"/>
      <w:r>
        <w:rPr>
          <w:rFonts w:ascii="Times New Roman" w:eastAsia="新細明體" w:hAnsi="Times New Roman"/>
          <w:b/>
          <w:bCs/>
          <w:szCs w:val="20"/>
          <w:lang w:eastAsia="zh-TW"/>
        </w:rPr>
        <w:t xml:space="preserve"> FDD, TDD), strive for single numerology (incl. SCS and CP) in a spectrum range in 6G as shown in Figure 1, especially for ~7GHz spectrum range.</w:t>
      </w:r>
    </w:p>
    <w:p w14:paraId="610B3333" w14:textId="77777777" w:rsidR="006A24F5" w:rsidRDefault="006A24F5" w:rsidP="006A24F5">
      <w:pPr>
        <w:rPr>
          <w:rFonts w:ascii="Times New Roman" w:eastAsia="新細明體" w:hAnsi="Times New Roman"/>
          <w:szCs w:val="20"/>
          <w:lang w:eastAsia="zh-TW"/>
        </w:rPr>
      </w:pPr>
    </w:p>
    <w:p w14:paraId="05B80333"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2</w:t>
      </w:r>
      <w:r>
        <w:rPr>
          <w:rFonts w:ascii="Times New Roman" w:eastAsia="新細明體" w:hAnsi="Times New Roman"/>
          <w:b/>
          <w:bCs/>
          <w:szCs w:val="20"/>
          <w:lang w:eastAsia="zh-TW"/>
        </w:rPr>
        <w:t>: For a given duplex mode (</w:t>
      </w:r>
      <w:proofErr w:type="gramStart"/>
      <w:r>
        <w:rPr>
          <w:rFonts w:ascii="Times New Roman" w:eastAsia="新細明體" w:hAnsi="Times New Roman"/>
          <w:b/>
          <w:bCs/>
          <w:szCs w:val="20"/>
          <w:lang w:eastAsia="zh-TW"/>
        </w:rPr>
        <w:t>e.g.</w:t>
      </w:r>
      <w:proofErr w:type="gramEnd"/>
      <w:r>
        <w:rPr>
          <w:rFonts w:ascii="Times New Roman" w:eastAsia="新細明體" w:hAnsi="Times New Roman"/>
          <w:b/>
          <w:bCs/>
          <w:szCs w:val="20"/>
          <w:lang w:eastAsia="zh-TW"/>
        </w:rPr>
        <w:t xml:space="preserve"> FDD, TDD), strive for single max CBW at least for ~1GHz-10GHz, as shown in Figure 1. For around 7GHz, adopt maximum UE CBW to be 200MHz.</w:t>
      </w:r>
    </w:p>
    <w:p w14:paraId="7F5F5C91" w14:textId="77777777" w:rsidR="006A24F5" w:rsidRDefault="006A24F5" w:rsidP="006A24F5">
      <w:pPr>
        <w:rPr>
          <w:rFonts w:ascii="Times New Roman" w:eastAsia="新細明體" w:hAnsi="Times New Roman"/>
          <w:szCs w:val="20"/>
          <w:lang w:eastAsia="zh-TW"/>
        </w:rPr>
      </w:pPr>
    </w:p>
    <w:p w14:paraId="086F2ADA"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3</w:t>
      </w:r>
      <w:r>
        <w:rPr>
          <w:rFonts w:ascii="Times New Roman" w:eastAsia="新細明體" w:hAnsi="Times New Roman"/>
          <w:b/>
          <w:bCs/>
          <w:szCs w:val="20"/>
          <w:lang w:eastAsia="zh-TW"/>
        </w:rPr>
        <w:t>: Max FFT size is restricted to 8192 points for 6G, as shown in Figure 1.</w:t>
      </w:r>
    </w:p>
    <w:p w14:paraId="540AF584" w14:textId="77777777" w:rsidR="006A24F5" w:rsidRPr="006A24F5" w:rsidRDefault="006A24F5" w:rsidP="00705B2A">
      <w:pPr>
        <w:rPr>
          <w:rFonts w:ascii="Times New Roman" w:eastAsiaTheme="minorEastAsia" w:hAnsi="Times New Roman" w:hint="eastAsia"/>
          <w:color w:val="000000"/>
          <w:kern w:val="24"/>
          <w:szCs w:val="20"/>
          <w:lang w:eastAsia="zh-TW"/>
        </w:rPr>
      </w:pPr>
    </w:p>
    <w:p w14:paraId="624E0820"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3</w:t>
      </w:r>
      <w:r>
        <w:rPr>
          <w:rFonts w:ascii="Times New Roman" w:eastAsia="新細明體" w:hAnsi="Times New Roman"/>
          <w:b/>
          <w:bCs/>
          <w:szCs w:val="20"/>
          <w:lang w:eastAsia="zh-TW"/>
        </w:rPr>
        <w:t>: For 15GHz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669AAC69" w14:textId="77777777" w:rsidR="006A24F5" w:rsidRDefault="006A24F5" w:rsidP="006A24F5">
      <w:pPr>
        <w:rPr>
          <w:rFonts w:ascii="Times New Roman" w:eastAsia="新細明體" w:hAnsi="Times New Roman"/>
          <w:b/>
          <w:bCs/>
          <w:szCs w:val="20"/>
          <w:lang w:eastAsia="zh-TW"/>
        </w:rPr>
      </w:pPr>
    </w:p>
    <w:p w14:paraId="56D5217E"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4:</w:t>
      </w:r>
      <w:r>
        <w:rPr>
          <w:rFonts w:ascii="Times New Roman" w:eastAsia="新細明體" w:hAnsi="Times New Roman"/>
          <w:b/>
          <w:bCs/>
          <w:szCs w:val="20"/>
          <w:lang w:eastAsia="zh-TW"/>
        </w:rPr>
        <w:t xml:space="preserve"> For all SCS, only normal CP is supported in 6G.</w:t>
      </w:r>
    </w:p>
    <w:p w14:paraId="4972C773" w14:textId="77777777" w:rsidR="006A24F5" w:rsidRDefault="006A24F5" w:rsidP="006A24F5">
      <w:pPr>
        <w:rPr>
          <w:rFonts w:ascii="Times New Roman" w:eastAsia="新細明體" w:hAnsi="Times New Roman"/>
          <w:b/>
          <w:bCs/>
          <w:szCs w:val="20"/>
          <w:u w:val="single"/>
          <w:lang w:eastAsia="zh-TW"/>
        </w:rPr>
      </w:pPr>
    </w:p>
    <w:p w14:paraId="535A571A"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5:</w:t>
      </w:r>
      <w:r>
        <w:rPr>
          <w:rFonts w:ascii="Times New Roman" w:eastAsia="新細明體" w:hAnsi="Times New Roman"/>
          <w:b/>
          <w:bCs/>
          <w:szCs w:val="20"/>
          <w:lang w:eastAsia="zh-TW"/>
        </w:rPr>
        <w:t xml:space="preserve"> For around 15GHz spectrum range, further study the feasibility of 30KHz and 60KHz SCS, considering max 1024QAM with max 6 or 8 MIMO layers, UE speed 3/30/60/120 km/hr and 30/100/300 ns delay spread of indoor and outdoor scenarios (30kHz is slightly preferred by us here).</w:t>
      </w:r>
    </w:p>
    <w:p w14:paraId="4BCC4F7F" w14:textId="77777777" w:rsidR="006A24F5" w:rsidRDefault="006A24F5" w:rsidP="006A24F5">
      <w:pPr>
        <w:rPr>
          <w:rFonts w:ascii="Times New Roman" w:eastAsia="新細明體" w:hAnsi="Times New Roman"/>
          <w:b/>
          <w:bCs/>
          <w:szCs w:val="20"/>
          <w:lang w:eastAsia="zh-TW"/>
        </w:rPr>
      </w:pPr>
    </w:p>
    <w:p w14:paraId="430505D2" w14:textId="77777777" w:rsidR="006A24F5" w:rsidRDefault="006A24F5" w:rsidP="006A24F5">
      <w:pPr>
        <w:rPr>
          <w:rFonts w:ascii="Times New Roman" w:eastAsiaTheme="minorEastAsia" w:hAnsi="Times New Roman"/>
          <w:b/>
          <w:bCs/>
          <w:lang w:eastAsia="zh-TW"/>
        </w:rPr>
      </w:pPr>
      <w:r>
        <w:rPr>
          <w:rFonts w:ascii="Times New Roman" w:eastAsiaTheme="minorEastAsia" w:hAnsi="Times New Roman"/>
          <w:b/>
          <w:bCs/>
          <w:u w:val="single"/>
          <w:lang w:eastAsia="zh-TW"/>
        </w:rPr>
        <w:t>Observation 4</w:t>
      </w:r>
      <w:r>
        <w:rPr>
          <w:rFonts w:ascii="Times New Roman" w:eastAsiaTheme="minorEastAsia" w:hAnsi="Times New Roman"/>
          <w:b/>
          <w:bCs/>
          <w:lang w:eastAsia="zh-TW"/>
        </w:rPr>
        <w:t xml:space="preserve">: Both A1 (legacy CA) and A2 (multi-carrier cell) are scalable and forward-compatible approaches to support contiguous bandwidth larger than the maximum UE CBW (e.g., &gt;200 MHz such as 400 MHz, 600 MHz or larger). </w:t>
      </w:r>
      <w:r>
        <w:rPr>
          <w:rFonts w:ascii="Times New Roman" w:eastAsia="新細明體" w:hAnsi="Times New Roman"/>
          <w:b/>
          <w:bCs/>
          <w:szCs w:val="20"/>
          <w:lang w:eastAsia="zh-TW"/>
        </w:rPr>
        <w:t xml:space="preserve">They simplify global deployment across regions with different contiguous allocations. </w:t>
      </w:r>
      <w:r>
        <w:rPr>
          <w:rFonts w:ascii="Times New Roman" w:eastAsiaTheme="minorEastAsia" w:hAnsi="Times New Roman"/>
          <w:b/>
          <w:bCs/>
          <w:lang w:eastAsia="zh-TW"/>
        </w:rPr>
        <w:t>For supporting 400 MHz contiguous bandwidth, A1 or A2 can achieve lower implementation cost/complexity and higher maximum attainable SNR than a single RF chain supporting an ultra-wide carrier.</w:t>
      </w:r>
    </w:p>
    <w:p w14:paraId="32BD33D7" w14:textId="77777777" w:rsidR="006A24F5" w:rsidRDefault="006A24F5" w:rsidP="006A24F5">
      <w:pPr>
        <w:rPr>
          <w:rFonts w:ascii="Times New Roman" w:eastAsiaTheme="minorEastAsia" w:hAnsi="Times New Roman"/>
          <w:b/>
          <w:bCs/>
          <w:lang w:eastAsia="zh-TW"/>
        </w:rPr>
      </w:pPr>
    </w:p>
    <w:p w14:paraId="1F7A7DD3" w14:textId="77777777" w:rsidR="006A24F5" w:rsidRDefault="006A24F5" w:rsidP="006A24F5">
      <w:pPr>
        <w:rPr>
          <w:rFonts w:ascii="Times New Roman" w:eastAsiaTheme="minorEastAsia" w:hAnsi="Times New Roman"/>
          <w:b/>
          <w:bCs/>
          <w:lang w:eastAsia="zh-TW"/>
        </w:rPr>
      </w:pPr>
      <w:r>
        <w:rPr>
          <w:rFonts w:ascii="Times New Roman" w:eastAsiaTheme="minorEastAsia" w:hAnsi="Times New Roman"/>
          <w:b/>
          <w:bCs/>
          <w:u w:val="single"/>
          <w:lang w:eastAsia="zh-TW"/>
        </w:rPr>
        <w:t>Observation 5</w:t>
      </w:r>
      <w:r>
        <w:rPr>
          <w:rFonts w:ascii="Times New Roman" w:eastAsiaTheme="minorEastAsia" w:hAnsi="Times New Roman"/>
          <w:b/>
          <w:bCs/>
          <w:lang w:eastAsia="zh-TW"/>
        </w:rPr>
        <w:t xml:space="preserve">: A2 which aggregates multiple carriers into a single logical cell is more efficient than the legacy CA framework and reduces RRC signalling and DL control overhead. It also enables more efficient and faster BW adaptation/carrier activation/deactivation than legacy CA by avoiding the slow </w:t>
      </w:r>
      <w:proofErr w:type="spellStart"/>
      <w:r>
        <w:rPr>
          <w:rFonts w:ascii="Times New Roman" w:eastAsiaTheme="minorEastAsia" w:hAnsi="Times New Roman"/>
          <w:b/>
          <w:bCs/>
          <w:lang w:eastAsia="zh-TW"/>
        </w:rPr>
        <w:t>SCell</w:t>
      </w:r>
      <w:proofErr w:type="spellEnd"/>
      <w:r>
        <w:rPr>
          <w:rFonts w:ascii="Times New Roman" w:eastAsiaTheme="minorEastAsia" w:hAnsi="Times New Roman"/>
          <w:b/>
          <w:bCs/>
          <w:lang w:eastAsia="zh-TW"/>
        </w:rPr>
        <w:t xml:space="preserve"> activation/deactivation procedure. More details about A2 are provided in Appendix.</w:t>
      </w:r>
    </w:p>
    <w:p w14:paraId="259C15CA" w14:textId="77777777" w:rsidR="006632A3" w:rsidRPr="006A24F5" w:rsidRDefault="006632A3" w:rsidP="00895A5A">
      <w:pPr>
        <w:rPr>
          <w:rFonts w:ascii="Times New Roman" w:eastAsia="新細明體" w:hAnsi="Times New Roman"/>
          <w:b/>
          <w:bCs/>
          <w:szCs w:val="20"/>
          <w:lang w:eastAsia="zh-TW"/>
        </w:rPr>
      </w:pPr>
    </w:p>
    <w:p w14:paraId="4052B8AD"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6:</w:t>
      </w:r>
      <w:r>
        <w:rPr>
          <w:rFonts w:ascii="Times New Roman" w:eastAsia="新細明體" w:hAnsi="Times New Roman"/>
          <w:b/>
          <w:bCs/>
          <w:szCs w:val="20"/>
          <w:lang w:eastAsia="zh-TW"/>
        </w:rPr>
        <w:t xml:space="preserve"> RAN1 to study multi</w:t>
      </w:r>
      <w:r>
        <w:rPr>
          <w:rFonts w:ascii="Times New Roman" w:eastAsia="新細明體" w:hAnsi="Times New Roman"/>
          <w:b/>
          <w:bCs/>
          <w:szCs w:val="20"/>
          <w:lang w:eastAsia="zh-TW"/>
        </w:rPr>
        <w:noBreakHyphen/>
        <w:t>carrier cell solution to support contiguous spectrum &gt;200 MHz around 7 GHz for UE.</w:t>
      </w:r>
    </w:p>
    <w:p w14:paraId="40839B64" w14:textId="77777777" w:rsidR="006A24F5" w:rsidRDefault="006A24F5" w:rsidP="006A24F5">
      <w:pPr>
        <w:rPr>
          <w:rFonts w:ascii="Times New Roman" w:eastAsia="新細明體" w:hAnsi="Times New Roman"/>
          <w:b/>
          <w:bCs/>
          <w:szCs w:val="20"/>
          <w:lang w:eastAsia="zh-TW"/>
        </w:rPr>
      </w:pPr>
    </w:p>
    <w:p w14:paraId="4F6942BA" w14:textId="268E3168" w:rsidR="006A24F5" w:rsidRPr="006A24F5" w:rsidRDefault="006A24F5" w:rsidP="00895A5A">
      <w:pPr>
        <w:rPr>
          <w:rFonts w:ascii="Times New Roman" w:eastAsia="新細明體" w:hAnsi="Times New Roman" w:hint="eastAsia"/>
          <w:b/>
          <w:bCs/>
          <w:szCs w:val="20"/>
          <w:lang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w:t>
      </w:r>
      <w:r>
        <w:rPr>
          <w:b/>
          <w:bCs/>
        </w:rPr>
        <w:t>RAN4 to further study potential guard band reduction if multiple contiguous carriers can be aggregated into a single cell.</w:t>
      </w:r>
    </w:p>
    <w:p w14:paraId="50E21EA5" w14:textId="77777777" w:rsidR="006A24F5" w:rsidRPr="000F108A" w:rsidRDefault="006A24F5" w:rsidP="00895A5A">
      <w:pPr>
        <w:rPr>
          <w:rFonts w:ascii="Times New Roman" w:eastAsia="新細明體" w:hAnsi="Times New Roman" w:hint="eastAsia"/>
          <w:b/>
          <w:bCs/>
          <w:szCs w:val="20"/>
          <w:lang w:eastAsia="zh-TW"/>
        </w:rPr>
      </w:pPr>
    </w:p>
    <w:p w14:paraId="03E54944" w14:textId="3D7D39AE" w:rsidR="00E24DAB" w:rsidRPr="00696F63" w:rsidRDefault="00E24DAB" w:rsidP="00895A5A">
      <w:pPr>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6G </w:t>
      </w:r>
      <w:r w:rsidR="00E62925" w:rsidRPr="00696F63">
        <w:rPr>
          <w:rFonts w:ascii="Times New Roman" w:eastAsiaTheme="minorEastAsia" w:hAnsi="Times New Roman"/>
          <w:color w:val="000000"/>
          <w:kern w:val="24"/>
          <w:szCs w:val="20"/>
          <w:lang w:eastAsia="zh-TW"/>
        </w:rPr>
        <w:t>f</w:t>
      </w:r>
      <w:r w:rsidRPr="00696F63">
        <w:rPr>
          <w:rFonts w:ascii="Times New Roman" w:eastAsiaTheme="minorEastAsia" w:hAnsi="Times New Roman"/>
          <w:color w:val="000000"/>
          <w:kern w:val="24"/>
          <w:szCs w:val="20"/>
          <w:lang w:eastAsia="zh-TW"/>
        </w:rPr>
        <w:t xml:space="preserve">rame </w:t>
      </w:r>
      <w:r w:rsidR="00E62925" w:rsidRPr="00696F63">
        <w:rPr>
          <w:rFonts w:ascii="Times New Roman" w:eastAsiaTheme="minorEastAsia" w:hAnsi="Times New Roman"/>
          <w:color w:val="000000"/>
          <w:kern w:val="24"/>
          <w:szCs w:val="20"/>
          <w:lang w:eastAsia="zh-TW"/>
        </w:rPr>
        <w:t>s</w:t>
      </w:r>
      <w:r w:rsidRPr="00696F63">
        <w:rPr>
          <w:rFonts w:ascii="Times New Roman" w:eastAsiaTheme="minorEastAsia" w:hAnsi="Times New Roman"/>
          <w:color w:val="000000"/>
          <w:kern w:val="24"/>
          <w:szCs w:val="20"/>
          <w:lang w:eastAsia="zh-TW"/>
        </w:rPr>
        <w:t>tructure</w:t>
      </w:r>
      <w:r w:rsidR="00940177" w:rsidRPr="00696F63">
        <w:rPr>
          <w:rFonts w:ascii="Times New Roman" w:eastAsiaTheme="minorEastAsia" w:hAnsi="Times New Roman"/>
          <w:color w:val="000000"/>
          <w:kern w:val="24"/>
          <w:szCs w:val="20"/>
          <w:lang w:eastAsia="zh-TW"/>
        </w:rPr>
        <w:t xml:space="preserve"> </w:t>
      </w:r>
      <w:r w:rsidR="00E62925" w:rsidRPr="00696F63">
        <w:rPr>
          <w:rFonts w:ascii="Times New Roman" w:eastAsiaTheme="minorEastAsia" w:hAnsi="Times New Roman"/>
          <w:color w:val="000000"/>
          <w:kern w:val="24"/>
          <w:szCs w:val="20"/>
          <w:lang w:eastAsia="zh-TW"/>
        </w:rPr>
        <w:t>r</w:t>
      </w:r>
      <w:r w:rsidR="00940177" w:rsidRPr="00696F63">
        <w:rPr>
          <w:rFonts w:ascii="Times New Roman" w:eastAsiaTheme="minorEastAsia" w:hAnsi="Times New Roman"/>
          <w:color w:val="000000"/>
          <w:kern w:val="24"/>
          <w:szCs w:val="20"/>
          <w:lang w:eastAsia="zh-TW"/>
        </w:rPr>
        <w:t>elated</w:t>
      </w:r>
      <w:r w:rsidR="00E62925" w:rsidRPr="00696F63">
        <w:rPr>
          <w:rFonts w:ascii="Times New Roman" w:eastAsiaTheme="minorEastAsia" w:hAnsi="Times New Roman"/>
          <w:color w:val="000000"/>
          <w:kern w:val="24"/>
          <w:szCs w:val="20"/>
          <w:lang w:eastAsia="zh-TW"/>
        </w:rPr>
        <w:t xml:space="preserve"> observations/proposals</w:t>
      </w:r>
      <w:r w:rsidRPr="00696F63">
        <w:rPr>
          <w:rFonts w:ascii="Times New Roman" w:eastAsiaTheme="minorEastAsia" w:hAnsi="Times New Roman"/>
          <w:color w:val="000000"/>
          <w:kern w:val="24"/>
          <w:szCs w:val="20"/>
          <w:lang w:eastAsia="zh-TW"/>
        </w:rPr>
        <w:t>:</w:t>
      </w:r>
    </w:p>
    <w:p w14:paraId="1A3CCE26" w14:textId="77777777" w:rsidR="00E24DAB" w:rsidRPr="00696F63" w:rsidRDefault="00E24DAB" w:rsidP="00895A5A">
      <w:pPr>
        <w:rPr>
          <w:rFonts w:ascii="Times New Roman" w:eastAsia="新細明體" w:hAnsi="Times New Roman"/>
          <w:b/>
          <w:bCs/>
          <w:szCs w:val="20"/>
          <w:lang w:eastAsia="zh-TW"/>
        </w:rPr>
      </w:pPr>
    </w:p>
    <w:p w14:paraId="05369432"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6</w:t>
      </w:r>
      <w:r>
        <w:rPr>
          <w:rFonts w:ascii="Times New Roman" w:eastAsia="新細明體" w:hAnsi="Times New Roman"/>
          <w:b/>
          <w:bCs/>
          <w:szCs w:val="20"/>
          <w:lang w:eastAsia="zh-TW"/>
        </w:rPr>
        <w:t>: In NR, a slot serves two key roles:</w:t>
      </w:r>
    </w:p>
    <w:p w14:paraId="19DFF7F7" w14:textId="77777777" w:rsidR="006A24F5" w:rsidRDefault="006A24F5" w:rsidP="006A24F5">
      <w:pPr>
        <w:pStyle w:val="a8"/>
        <w:numPr>
          <w:ilvl w:val="0"/>
          <w:numId w:val="41"/>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Logical-unit reference for resource allocation, UE capability, and other features. For example:</w:t>
      </w:r>
    </w:p>
    <w:p w14:paraId="4038823E" w14:textId="77777777" w:rsidR="006A24F5" w:rsidRDefault="006A24F5" w:rsidP="006A24F5">
      <w:pPr>
        <w:pStyle w:val="a8"/>
        <w:numPr>
          <w:ilvl w:val="0"/>
          <w:numId w:val="41"/>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Scheduling restriction</w:t>
      </w:r>
    </w:p>
    <w:p w14:paraId="52E95140" w14:textId="77777777" w:rsidR="006A24F5" w:rsidRDefault="006A24F5" w:rsidP="006A24F5">
      <w:pPr>
        <w:rPr>
          <w:rFonts w:ascii="Times New Roman" w:eastAsia="新細明體" w:hAnsi="Times New Roman"/>
          <w:b/>
          <w:bCs/>
          <w:szCs w:val="20"/>
          <w:u w:val="single"/>
          <w:lang w:eastAsia="zh-TW"/>
        </w:rPr>
      </w:pPr>
    </w:p>
    <w:p w14:paraId="5BDEDE16"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7</w:t>
      </w:r>
      <w:r>
        <w:rPr>
          <w:rFonts w:ascii="Times New Roman" w:eastAsia="新細明體" w:hAnsi="Times New Roman"/>
          <w:b/>
          <w:bCs/>
          <w:szCs w:val="20"/>
          <w:lang w:eastAsia="zh-TW"/>
        </w:rPr>
        <w:t>: After 5G R15, coverage enhancement proposals in 5G often require scheduling crossing slot boundary, for example, TB processing over multi-slot (</w:t>
      </w:r>
      <w:proofErr w:type="spellStart"/>
      <w:r>
        <w:rPr>
          <w:rFonts w:ascii="Times New Roman" w:eastAsia="新細明體" w:hAnsi="Times New Roman"/>
          <w:b/>
          <w:bCs/>
          <w:szCs w:val="20"/>
          <w:lang w:eastAsia="zh-TW"/>
        </w:rPr>
        <w:t>TBoMS</w:t>
      </w:r>
      <w:proofErr w:type="spellEnd"/>
      <w:r>
        <w:rPr>
          <w:rFonts w:ascii="Times New Roman" w:eastAsia="新細明體" w:hAnsi="Times New Roman"/>
          <w:b/>
          <w:bCs/>
          <w:szCs w:val="20"/>
          <w:lang w:eastAsia="zh-TW"/>
        </w:rPr>
        <w:t>) and DMRS bundling over multiple slots.</w:t>
      </w:r>
    </w:p>
    <w:p w14:paraId="0FFAEA08" w14:textId="77777777" w:rsidR="006A24F5" w:rsidRDefault="006A24F5" w:rsidP="006A24F5">
      <w:pPr>
        <w:rPr>
          <w:rFonts w:ascii="Times New Roman" w:eastAsia="新細明體" w:hAnsi="Times New Roman"/>
          <w:b/>
          <w:bCs/>
          <w:szCs w:val="20"/>
          <w:lang w:eastAsia="zh-TW"/>
        </w:rPr>
      </w:pPr>
    </w:p>
    <w:p w14:paraId="27F0E7EF" w14:textId="77777777" w:rsidR="006A24F5" w:rsidRDefault="006A24F5" w:rsidP="006A24F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8:</w:t>
      </w:r>
      <w:r>
        <w:rPr>
          <w:rFonts w:ascii="Times New Roman" w:eastAsia="新細明體" w:hAnsi="Times New Roman"/>
          <w:b/>
          <w:bCs/>
          <w:szCs w:val="20"/>
          <w:lang w:eastAsia="zh-TW"/>
        </w:rPr>
        <w:t xml:space="preserve"> Study the support of PXSCH across slot boundary to enhance coverage and reduce latency.</w:t>
      </w:r>
    </w:p>
    <w:p w14:paraId="5FFE8A0C" w14:textId="77777777" w:rsidR="006A24F5" w:rsidRDefault="006A24F5" w:rsidP="006A24F5">
      <w:pPr>
        <w:rPr>
          <w:rFonts w:ascii="Times New Roman" w:eastAsia="新細明體" w:hAnsi="Times New Roman"/>
          <w:b/>
          <w:bCs/>
          <w:szCs w:val="20"/>
          <w:lang w:eastAsia="zh-TW"/>
        </w:rPr>
      </w:pPr>
    </w:p>
    <w:p w14:paraId="606A744C" w14:textId="77777777" w:rsidR="006A24F5" w:rsidRDefault="006A24F5" w:rsidP="006A24F5">
      <w:pPr>
        <w:spacing w:after="120"/>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9:</w:t>
      </w:r>
      <w:r>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6287E543" w14:textId="77777777" w:rsidR="006A24F5" w:rsidRPr="00696F63" w:rsidRDefault="006A24F5" w:rsidP="00940177">
      <w:pPr>
        <w:rPr>
          <w:rFonts w:ascii="Times New Roman" w:eastAsia="新細明體" w:hAnsi="Times New Roman" w:hint="eastAsia"/>
          <w:b/>
          <w:bCs/>
          <w:szCs w:val="20"/>
          <w:lang w:eastAsia="zh-TW"/>
        </w:rPr>
      </w:pPr>
    </w:p>
    <w:p w14:paraId="3B170216" w14:textId="3220EEEE" w:rsidR="006632A3" w:rsidRDefault="006632A3" w:rsidP="00940177">
      <w:pPr>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6G duplex related observations/proposals:</w:t>
      </w:r>
    </w:p>
    <w:p w14:paraId="37EF40D6" w14:textId="77777777" w:rsidR="00497510" w:rsidRDefault="00497510" w:rsidP="00940177">
      <w:pPr>
        <w:rPr>
          <w:rFonts w:ascii="Times New Roman" w:eastAsiaTheme="minorEastAsia" w:hAnsi="Times New Roman"/>
          <w:color w:val="000000"/>
          <w:kern w:val="24"/>
          <w:szCs w:val="20"/>
          <w:lang w:eastAsia="zh-TW"/>
        </w:rPr>
      </w:pPr>
    </w:p>
    <w:p w14:paraId="730B6CD1" w14:textId="77777777" w:rsidR="006A24F5" w:rsidRDefault="006A24F5" w:rsidP="006A24F5">
      <w:pPr>
        <w:spacing w:after="120"/>
        <w:rPr>
          <w:rFonts w:ascii="Times New Roman" w:hAnsi="Times New Roman"/>
          <w:b/>
          <w:bCs/>
        </w:rPr>
      </w:pPr>
      <w:r>
        <w:rPr>
          <w:rFonts w:ascii="Times New Roman" w:hAnsi="Times New Roman"/>
          <w:b/>
          <w:bCs/>
        </w:rPr>
        <w:t>Proposal 10: Target both FD-FDD and HD-FDD operation at UE side for paired bands.</w:t>
      </w:r>
    </w:p>
    <w:p w14:paraId="65B4F22E" w14:textId="77777777" w:rsidR="006A24F5" w:rsidRDefault="006A24F5" w:rsidP="006A24F5">
      <w:pPr>
        <w:spacing w:after="120"/>
        <w:rPr>
          <w:rFonts w:ascii="Times New Roman" w:hAnsi="Times New Roman"/>
          <w:b/>
          <w:bCs/>
        </w:rPr>
      </w:pPr>
      <w:r>
        <w:rPr>
          <w:rFonts w:ascii="Times New Roman" w:hAnsi="Times New Roman"/>
          <w:b/>
          <w:bCs/>
        </w:rPr>
        <w:t>Proposal 11: Target semi-static TDD operation in unpaired bands as a baseline, with consideration for CLI mitigation for asynchronous semi-static TDD scenarios.</w:t>
      </w:r>
    </w:p>
    <w:p w14:paraId="5F5219FD" w14:textId="77777777" w:rsidR="006A24F5" w:rsidRDefault="006A24F5" w:rsidP="006A24F5">
      <w:pPr>
        <w:spacing w:after="120"/>
        <w:jc w:val="both"/>
        <w:rPr>
          <w:rFonts w:ascii="Times New Roman" w:hAnsi="Times New Roman"/>
          <w:b/>
          <w:bCs/>
        </w:rPr>
      </w:pPr>
      <w:r>
        <w:rPr>
          <w:rFonts w:ascii="Times New Roman" w:hAnsi="Times New Roman"/>
          <w:b/>
          <w:bCs/>
        </w:rPr>
        <w:t>Observation 8: Due to a lack of use cases and the presence of high co-channel CLI, dynamic TDD was not deployed in 5G networks.</w:t>
      </w:r>
    </w:p>
    <w:p w14:paraId="31DF8878" w14:textId="56F9793B" w:rsidR="006A24F5" w:rsidRPr="006A24F5" w:rsidRDefault="006A24F5" w:rsidP="006A24F5">
      <w:pPr>
        <w:spacing w:after="120"/>
        <w:jc w:val="both"/>
        <w:rPr>
          <w:rFonts w:ascii="Times New Roman" w:hAnsi="Times New Roman"/>
          <w:b/>
          <w:bCs/>
        </w:rPr>
      </w:pPr>
      <w:r>
        <w:rPr>
          <w:rFonts w:ascii="Times New Roman" w:hAnsi="Times New Roman"/>
          <w:b/>
          <w:bCs/>
        </w:rPr>
        <w:t xml:space="preserve">Observation 9: The uncertainty in the transmission direction caused by the overdesign of dynamic TDD in NR led to high implementation complexity for both UE and </w:t>
      </w:r>
      <w:proofErr w:type="spellStart"/>
      <w:r>
        <w:rPr>
          <w:rFonts w:ascii="Times New Roman" w:hAnsi="Times New Roman"/>
          <w:b/>
          <w:bCs/>
        </w:rPr>
        <w:t>gNB</w:t>
      </w:r>
      <w:proofErr w:type="spellEnd"/>
      <w:r>
        <w:rPr>
          <w:rFonts w:ascii="Times New Roman" w:hAnsi="Times New Roman"/>
          <w:b/>
          <w:bCs/>
        </w:rPr>
        <w:t>.</w:t>
      </w:r>
    </w:p>
    <w:p w14:paraId="67833FC1" w14:textId="77777777" w:rsidR="006A24F5" w:rsidRDefault="006A24F5" w:rsidP="006A24F5">
      <w:pPr>
        <w:rPr>
          <w:rFonts w:ascii="Times New Roman" w:hAnsi="Times New Roman"/>
          <w:b/>
          <w:bCs/>
        </w:rPr>
      </w:pPr>
      <w:r>
        <w:rPr>
          <w:rFonts w:ascii="Times New Roman" w:hAnsi="Times New Roman"/>
          <w:b/>
          <w:bCs/>
        </w:rPr>
        <w:t>Proposal 12: For dynamic TDD study, consider the following:</w:t>
      </w:r>
    </w:p>
    <w:p w14:paraId="3131B8FD" w14:textId="77777777" w:rsidR="006A24F5" w:rsidRDefault="006A24F5" w:rsidP="006A24F5">
      <w:pPr>
        <w:pStyle w:val="a8"/>
        <w:numPr>
          <w:ilvl w:val="0"/>
          <w:numId w:val="42"/>
        </w:numPr>
        <w:ind w:leftChars="0"/>
        <w:rPr>
          <w:rFonts w:ascii="Times New Roman" w:hAnsi="Times New Roman"/>
          <w:b/>
          <w:bCs/>
          <w:szCs w:val="20"/>
        </w:rPr>
      </w:pPr>
      <w:r>
        <w:rPr>
          <w:rFonts w:ascii="Times New Roman" w:hAnsi="Times New Roman"/>
          <w:b/>
          <w:bCs/>
          <w:szCs w:val="20"/>
        </w:rPr>
        <w:t>The targeted deployment to evaluate the impact of inter-</w:t>
      </w:r>
      <w:proofErr w:type="spellStart"/>
      <w:r>
        <w:rPr>
          <w:rFonts w:ascii="Times New Roman" w:hAnsi="Times New Roman"/>
          <w:b/>
          <w:bCs/>
          <w:szCs w:val="20"/>
        </w:rPr>
        <w:t>gNB</w:t>
      </w:r>
      <w:proofErr w:type="spellEnd"/>
      <w:r>
        <w:rPr>
          <w:rFonts w:ascii="Times New Roman" w:hAnsi="Times New Roman"/>
          <w:b/>
          <w:bCs/>
          <w:szCs w:val="20"/>
        </w:rPr>
        <w:t xml:space="preserve"> and inter-UE CLI.</w:t>
      </w:r>
    </w:p>
    <w:p w14:paraId="5B928EA3" w14:textId="77777777" w:rsidR="006A24F5" w:rsidRDefault="006A24F5" w:rsidP="006A24F5">
      <w:pPr>
        <w:pStyle w:val="a8"/>
        <w:numPr>
          <w:ilvl w:val="0"/>
          <w:numId w:val="42"/>
        </w:numPr>
        <w:spacing w:after="120"/>
        <w:ind w:leftChars="0" w:left="714" w:hanging="357"/>
        <w:rPr>
          <w:rFonts w:ascii="Times New Roman" w:hAnsi="Times New Roman"/>
          <w:b/>
          <w:bCs/>
          <w:szCs w:val="20"/>
        </w:rPr>
      </w:pPr>
      <w:r>
        <w:rPr>
          <w:rFonts w:ascii="Times New Roman" w:hAnsi="Times New Roman"/>
          <w:b/>
          <w:bCs/>
          <w:szCs w:val="20"/>
        </w:rPr>
        <w:t>The targeted use-case (e.g., DL/UL ratio change for coverage enhancement) for dynamic TDD.</w:t>
      </w:r>
    </w:p>
    <w:p w14:paraId="0B0B33C3" w14:textId="77777777" w:rsidR="006A24F5" w:rsidRDefault="006A24F5" w:rsidP="006A24F5">
      <w:pPr>
        <w:spacing w:after="120"/>
        <w:rPr>
          <w:rFonts w:ascii="Times New Roman" w:hAnsi="Times New Roman"/>
          <w:b/>
          <w:bCs/>
        </w:rPr>
      </w:pPr>
      <w:r>
        <w:rPr>
          <w:rFonts w:ascii="Times New Roman" w:hAnsi="Times New Roman"/>
          <w:b/>
          <w:bCs/>
        </w:rPr>
        <w:t>Proposal 13: For TDD operation in 6G, define only “D” symbols, “U” symbols, and guard period.</w:t>
      </w:r>
    </w:p>
    <w:p w14:paraId="47CD72DE" w14:textId="77777777" w:rsidR="006A24F5" w:rsidRDefault="006A24F5" w:rsidP="006A24F5">
      <w:pPr>
        <w:jc w:val="both"/>
        <w:rPr>
          <w:rFonts w:ascii="Times New Roman" w:hAnsi="Times New Roman"/>
          <w:b/>
          <w:bCs/>
        </w:rPr>
      </w:pPr>
      <w:r>
        <w:rPr>
          <w:rFonts w:ascii="Times New Roman" w:hAnsi="Times New Roman"/>
          <w:b/>
          <w:bCs/>
        </w:rPr>
        <w:t>Proposal 14: If dynamic TDD to be supported, 6G should adopt the indication of a TDD pattern out of predefined TDD patterns.</w:t>
      </w:r>
    </w:p>
    <w:p w14:paraId="2FBC7CE0" w14:textId="77777777" w:rsidR="006A24F5" w:rsidRDefault="006A24F5" w:rsidP="006A24F5">
      <w:pPr>
        <w:pStyle w:val="a8"/>
        <w:numPr>
          <w:ilvl w:val="0"/>
          <w:numId w:val="43"/>
        </w:numPr>
        <w:ind w:leftChars="0"/>
        <w:jc w:val="both"/>
        <w:rPr>
          <w:rFonts w:ascii="Times New Roman" w:hAnsi="Times New Roman"/>
          <w:b/>
          <w:bCs/>
        </w:rPr>
      </w:pPr>
      <w:r>
        <w:rPr>
          <w:rFonts w:ascii="Times New Roman" w:hAnsi="Times New Roman"/>
          <w:b/>
          <w:bCs/>
        </w:rPr>
        <w:t>No need to support Flexible symbols.</w:t>
      </w:r>
    </w:p>
    <w:p w14:paraId="6D0F6920" w14:textId="77777777" w:rsidR="006A24F5" w:rsidRDefault="006A24F5" w:rsidP="006A24F5">
      <w:pPr>
        <w:pStyle w:val="a8"/>
        <w:numPr>
          <w:ilvl w:val="0"/>
          <w:numId w:val="43"/>
        </w:numPr>
        <w:spacing w:after="120"/>
        <w:ind w:leftChars="0"/>
        <w:jc w:val="both"/>
        <w:rPr>
          <w:rFonts w:ascii="Times New Roman" w:hAnsi="Times New Roman"/>
          <w:b/>
          <w:bCs/>
        </w:rPr>
      </w:pPr>
      <w:r>
        <w:rPr>
          <w:rFonts w:ascii="Times New Roman" w:hAnsi="Times New Roman"/>
          <w:b/>
          <w:bCs/>
        </w:rPr>
        <w:t>The UE should be provided with sufficient processing time to apply the TDD pattern change.</w:t>
      </w:r>
    </w:p>
    <w:p w14:paraId="76ED614C" w14:textId="77777777" w:rsidR="006A24F5" w:rsidRDefault="006A24F5" w:rsidP="006A24F5">
      <w:pPr>
        <w:spacing w:after="120"/>
        <w:rPr>
          <w:rFonts w:ascii="Times New Roman" w:hAnsi="Times New Roman"/>
          <w:b/>
          <w:bCs/>
        </w:rPr>
      </w:pPr>
      <w:r>
        <w:rPr>
          <w:rFonts w:ascii="Times New Roman" w:hAnsi="Times New Roman"/>
          <w:b/>
          <w:bCs/>
        </w:rPr>
        <w:t>Observation 10: SBFD improves the system performance in unpaired spectrum in terms of latency and UL coverage/throughput, and performance can be maximised in new bands with SBFD-aware equipment.</w:t>
      </w:r>
    </w:p>
    <w:p w14:paraId="0BBA8517" w14:textId="77777777" w:rsidR="006A24F5" w:rsidRDefault="006A24F5" w:rsidP="006A24F5">
      <w:pPr>
        <w:spacing w:after="120"/>
        <w:rPr>
          <w:rFonts w:ascii="Times New Roman" w:hAnsi="Times New Roman"/>
          <w:b/>
          <w:bCs/>
        </w:rPr>
      </w:pPr>
      <w:r>
        <w:rPr>
          <w:rFonts w:ascii="Times New Roman" w:hAnsi="Times New Roman"/>
          <w:b/>
          <w:bCs/>
        </w:rPr>
        <w:t>Proposal 15: Study TDD enhanced with SBFD as a fundamental 6G design component for unpaired bands.</w:t>
      </w:r>
    </w:p>
    <w:p w14:paraId="0D908D2A" w14:textId="77777777" w:rsidR="006A24F5" w:rsidRDefault="006A24F5" w:rsidP="006A24F5">
      <w:pPr>
        <w:spacing w:after="120"/>
        <w:rPr>
          <w:rFonts w:ascii="Times New Roman" w:hAnsi="Times New Roman"/>
          <w:b/>
          <w:bCs/>
        </w:rPr>
      </w:pPr>
      <w:r>
        <w:rPr>
          <w:rFonts w:ascii="Times New Roman" w:hAnsi="Times New Roman"/>
          <w:b/>
          <w:bCs/>
        </w:rPr>
        <w:t>Proposal 16: If network-side SBFD is supported in 6G, link direction should be provided to the UE (half-duplex UEs).</w:t>
      </w:r>
    </w:p>
    <w:p w14:paraId="7861A4A8" w14:textId="77777777" w:rsidR="006A24F5" w:rsidRDefault="006A24F5" w:rsidP="006A24F5">
      <w:pPr>
        <w:spacing w:after="120"/>
        <w:rPr>
          <w:rFonts w:ascii="Times New Roman" w:hAnsi="Times New Roman"/>
          <w:b/>
          <w:bCs/>
        </w:rPr>
      </w:pPr>
      <w:r>
        <w:rPr>
          <w:rFonts w:ascii="Times New Roman" w:hAnsi="Times New Roman"/>
          <w:b/>
          <w:bCs/>
        </w:rPr>
        <w:t>Observation 11: UE-SBFD further improves the capacity for latency-bound services and coverage by eliminating the trade-off between DL and UL transmissions.</w:t>
      </w:r>
    </w:p>
    <w:p w14:paraId="17EB9EC0" w14:textId="28DF15A8" w:rsidR="004668D6" w:rsidRPr="000F108A" w:rsidRDefault="006A24F5" w:rsidP="00497510">
      <w:pPr>
        <w:spacing w:after="240"/>
        <w:rPr>
          <w:rFonts w:ascii="Times New Roman" w:hAnsi="Times New Roman" w:hint="eastAsia"/>
          <w:b/>
          <w:bCs/>
        </w:rPr>
      </w:pPr>
      <w:r>
        <w:rPr>
          <w:rFonts w:ascii="Times New Roman" w:hAnsi="Times New Roman"/>
          <w:b/>
          <w:bCs/>
        </w:rPr>
        <w:t>Proposal 17: Study UE-side SBFD on top of network-side SBFD for 6G.</w:t>
      </w:r>
    </w:p>
    <w:p w14:paraId="4A6837D7" w14:textId="4677B3BD" w:rsidR="00700DE0" w:rsidRPr="00696F63" w:rsidRDefault="005A2660" w:rsidP="00AB52AE">
      <w:pPr>
        <w:pStyle w:val="1"/>
        <w:numPr>
          <w:ilvl w:val="0"/>
          <w:numId w:val="1"/>
        </w:numPr>
        <w:pBdr>
          <w:top w:val="single" w:sz="12" w:space="3" w:color="auto"/>
        </w:pBdr>
        <w:spacing w:after="180"/>
        <w:rPr>
          <w:rFonts w:ascii="Arial" w:hAnsi="Arial" w:cs="Arial"/>
          <w:color w:val="000000"/>
          <w:sz w:val="36"/>
          <w:szCs w:val="36"/>
          <w:lang w:eastAsia="zh-TW"/>
        </w:rPr>
      </w:pPr>
      <w:bookmarkStart w:id="11" w:name="OLE_LINK205"/>
      <w:r w:rsidRPr="00696F63">
        <w:rPr>
          <w:rFonts w:ascii="Arial" w:hAnsi="Arial" w:cs="Arial"/>
          <w:color w:val="000000"/>
          <w:sz w:val="36"/>
          <w:szCs w:val="36"/>
          <w:lang w:eastAsia="zh-TW"/>
        </w:rPr>
        <w:t>Reference</w:t>
      </w:r>
      <w:bookmarkEnd w:id="11"/>
    </w:p>
    <w:p w14:paraId="55B4A855" w14:textId="76CB5381" w:rsidR="003A3F38" w:rsidRPr="00696F63" w:rsidRDefault="003A3F38" w:rsidP="001E4211">
      <w:pPr>
        <w:pStyle w:val="References"/>
        <w:rPr>
          <w:lang w:val="en-GB"/>
        </w:rPr>
      </w:pPr>
      <w:bookmarkStart w:id="12" w:name="OLE_LINK84"/>
      <w:r w:rsidRPr="00696F63">
        <w:rPr>
          <w:lang w:val="en-GB"/>
        </w:rPr>
        <w:t>RP-251881, “New SID: Study on 6G Radio”, NTT DOCOMO, RAN #108</w:t>
      </w:r>
    </w:p>
    <w:p w14:paraId="2F82C806" w14:textId="5E47784A" w:rsidR="0044690B" w:rsidRPr="00DD18D5" w:rsidRDefault="003A3F38" w:rsidP="0044690B">
      <w:pPr>
        <w:pStyle w:val="References"/>
        <w:rPr>
          <w:lang w:val="en-GB"/>
        </w:rPr>
      </w:pPr>
      <w:r w:rsidRPr="00696F63">
        <w:rPr>
          <w:lang w:val="en-GB"/>
        </w:rPr>
        <w:t>Chairman’s Notes, RAN1 #122</w:t>
      </w:r>
      <w:r w:rsidR="00C343FF">
        <w:rPr>
          <w:lang w:val="en-GB"/>
        </w:rPr>
        <w:t>-bis</w:t>
      </w:r>
      <w:r w:rsidRPr="00696F63">
        <w:rPr>
          <w:lang w:val="en-GB"/>
        </w:rPr>
        <w:t xml:space="preserve"> (Rel-20 11.3.2 Frame structure)</w:t>
      </w:r>
      <w:bookmarkEnd w:id="12"/>
    </w:p>
    <w:p w14:paraId="780F4003" w14:textId="4E792048" w:rsidR="00522F62" w:rsidRDefault="00522F62" w:rsidP="00522F62">
      <w:pPr>
        <w:pStyle w:val="1"/>
        <w:numPr>
          <w:ilvl w:val="0"/>
          <w:numId w:val="1"/>
        </w:numPr>
        <w:pBdr>
          <w:top w:val="single" w:sz="12" w:space="3" w:color="auto"/>
        </w:pBdr>
        <w:spacing w:after="180"/>
        <w:rPr>
          <w:rFonts w:ascii="Arial" w:hAnsi="Arial" w:cs="Arial"/>
          <w:color w:val="000000"/>
          <w:sz w:val="36"/>
          <w:szCs w:val="36"/>
          <w:lang w:eastAsia="zh-TW"/>
        </w:rPr>
      </w:pPr>
      <w:r w:rsidRPr="00522F62">
        <w:rPr>
          <w:rFonts w:ascii="Arial" w:hAnsi="Arial" w:cs="Arial"/>
          <w:color w:val="000000"/>
          <w:sz w:val="36"/>
          <w:szCs w:val="36"/>
          <w:lang w:eastAsia="zh-TW"/>
        </w:rPr>
        <w:t>Appendix</w:t>
      </w:r>
    </w:p>
    <w:p w14:paraId="3B9EB854" w14:textId="77777777" w:rsidR="00522F62" w:rsidRPr="00522F62" w:rsidRDefault="00522F62" w:rsidP="00522F62">
      <w:pPr>
        <w:rPr>
          <w:rFonts w:eastAsiaTheme="minorEastAsia"/>
          <w:b/>
          <w:bCs/>
          <w:sz w:val="24"/>
          <w:szCs w:val="32"/>
          <w:u w:val="single"/>
          <w:lang w:eastAsia="zh-TW"/>
        </w:rPr>
      </w:pPr>
      <w:r w:rsidRPr="00522F62">
        <w:rPr>
          <w:rFonts w:eastAsiaTheme="minorEastAsia"/>
          <w:b/>
          <w:bCs/>
          <w:sz w:val="24"/>
          <w:szCs w:val="32"/>
          <w:u w:val="single"/>
          <w:lang w:eastAsia="zh-TW"/>
        </w:rPr>
        <w:t>Multi-carrier cell (MC Cell)</w:t>
      </w:r>
    </w:p>
    <w:p w14:paraId="53124668" w14:textId="77777777" w:rsidR="00522F62" w:rsidRPr="00522F62" w:rsidRDefault="00522F62" w:rsidP="00522F62">
      <w:pPr>
        <w:rPr>
          <w:rFonts w:eastAsiaTheme="minorEastAsia"/>
          <w:b/>
          <w:bCs/>
          <w:sz w:val="24"/>
          <w:szCs w:val="32"/>
          <w:u w:val="single"/>
          <w:lang w:eastAsia="zh-TW"/>
        </w:rPr>
      </w:pPr>
    </w:p>
    <w:p w14:paraId="7F23E017" w14:textId="77777777" w:rsidR="00522F62" w:rsidRPr="00522F62" w:rsidRDefault="00522F62" w:rsidP="00522F62">
      <w:pPr>
        <w:jc w:val="both"/>
        <w:rPr>
          <w:rFonts w:eastAsiaTheme="minorEastAsia"/>
          <w:lang w:eastAsia="zh-TW"/>
        </w:rPr>
      </w:pPr>
      <w:r w:rsidRPr="00522F62">
        <w:rPr>
          <w:rFonts w:eastAsiaTheme="minorEastAsia"/>
          <w:lang w:eastAsia="zh-TW"/>
        </w:rPr>
        <w:t xml:space="preserve">In RAN1 #122bis, the pain points of legacy CA framework were discussed. Many of the inefficiencies are the result of the one-to-one mapping between a logical cell and physical carrier of the 5G CA framework. To address the inefficiencies identified from the existing 5G CA framework, it’s suggested to decouple one-to-one mapping between a physical carrier and a logical cell and enable multiple carriers with similar channel properties to be mapped to the same cell. As illustrated in Figure A-1, intra-band and nearby inter-band carriers are aggregated into a single cell when they meet specific time and frequency alignment criteria. When carriers are sufficiently synchronized, a common time/frequency synchronisation reference and AGC can be used at a </w:t>
      </w:r>
      <w:proofErr w:type="gramStart"/>
      <w:r w:rsidRPr="00522F62">
        <w:rPr>
          <w:rFonts w:eastAsiaTheme="minorEastAsia"/>
          <w:lang w:eastAsia="zh-TW"/>
        </w:rPr>
        <w:t>UE</w:t>
      </w:r>
      <w:proofErr w:type="gramEnd"/>
      <w:r w:rsidRPr="00522F62">
        <w:rPr>
          <w:rFonts w:eastAsiaTheme="minorEastAsia"/>
          <w:lang w:eastAsia="zh-TW"/>
        </w:rPr>
        <w:t xml:space="preserve"> and it also helps to improve carrier activation latency. When the carriers share the same RRC configuration, the UE specific signalling overhead (</w:t>
      </w:r>
      <w:proofErr w:type="gramStart"/>
      <w:r w:rsidRPr="00522F62">
        <w:rPr>
          <w:rFonts w:eastAsiaTheme="minorEastAsia"/>
          <w:lang w:eastAsia="zh-TW"/>
        </w:rPr>
        <w:t>e.g.</w:t>
      </w:r>
      <w:proofErr w:type="gramEnd"/>
      <w:r w:rsidRPr="00522F62">
        <w:rPr>
          <w:rFonts w:eastAsiaTheme="minorEastAsia"/>
          <w:lang w:eastAsia="zh-TW"/>
        </w:rPr>
        <w:t xml:space="preserve"> DCI and RRC signalling) and UE processing complexity of PHY channels are reduced. In addition, the scheduling and HARQ operation are also no longer restricted within a carriers and further improvements on user throughput and latency via cross-carrier operation becomes possible.</w:t>
      </w:r>
    </w:p>
    <w:p w14:paraId="1E58CA2B" w14:textId="77777777" w:rsidR="00522F62" w:rsidRPr="00522F62" w:rsidRDefault="00522F62" w:rsidP="00522F62">
      <w:pPr>
        <w:jc w:val="both"/>
        <w:rPr>
          <w:rFonts w:eastAsiaTheme="minorEastAsia"/>
          <w:lang w:eastAsia="zh-TW"/>
        </w:rPr>
      </w:pPr>
    </w:p>
    <w:p w14:paraId="4F50982E" w14:textId="1AFB1863" w:rsidR="00522F62" w:rsidRDefault="00522F62" w:rsidP="00522F62">
      <w:pPr>
        <w:pStyle w:val="af7"/>
        <w:jc w:val="center"/>
        <w:rPr>
          <w:b/>
          <w:bCs/>
        </w:rPr>
      </w:pPr>
      <w:r>
        <w:rPr>
          <w:rFonts w:eastAsiaTheme="minorEastAsia"/>
          <w:noProof/>
          <w:lang w:eastAsia="zh-TW"/>
        </w:rPr>
        <w:drawing>
          <wp:inline distT="0" distB="0" distL="0" distR="0" wp14:anchorId="555BF754" wp14:editId="27DE6CA7">
            <wp:extent cx="3538220" cy="2061210"/>
            <wp:effectExtent l="0" t="0" r="508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38220" cy="2061210"/>
                    </a:xfrm>
                    <a:prstGeom prst="rect">
                      <a:avLst/>
                    </a:prstGeom>
                    <a:noFill/>
                    <a:ln>
                      <a:noFill/>
                    </a:ln>
                  </pic:spPr>
                </pic:pic>
              </a:graphicData>
            </a:graphic>
          </wp:inline>
        </w:drawing>
      </w:r>
      <w:r>
        <w:rPr>
          <w:b/>
          <w:bCs/>
        </w:rPr>
        <w:t xml:space="preserve"> </w:t>
      </w:r>
    </w:p>
    <w:p w14:paraId="61EAFE44" w14:textId="77777777" w:rsidR="00522F62" w:rsidRDefault="00522F62" w:rsidP="00522F62">
      <w:pPr>
        <w:pStyle w:val="af7"/>
        <w:jc w:val="center"/>
        <w:rPr>
          <w:rFonts w:ascii="Times New Roman" w:eastAsia="新細明體" w:hAnsi="Times New Roman"/>
          <w:b/>
          <w:bCs/>
          <w:lang w:eastAsia="zh-TW"/>
        </w:rPr>
      </w:pPr>
      <w:r>
        <w:rPr>
          <w:b/>
          <w:bCs/>
        </w:rPr>
        <w:t>Figure A-1</w:t>
      </w:r>
      <w:r>
        <w:rPr>
          <w:rFonts w:ascii="Times New Roman" w:eastAsia="新細明體" w:hAnsi="Times New Roman"/>
          <w:b/>
          <w:bCs/>
          <w:lang w:eastAsia="zh-TW"/>
        </w:rPr>
        <w:t>. Illustration of multi-carrier cell</w:t>
      </w:r>
    </w:p>
    <w:p w14:paraId="0F296394" w14:textId="77777777" w:rsidR="00522F62" w:rsidRPr="00522F62" w:rsidRDefault="00522F62" w:rsidP="00522F62">
      <w:pPr>
        <w:jc w:val="center"/>
        <w:rPr>
          <w:rFonts w:eastAsiaTheme="minorEastAsia"/>
          <w:lang w:eastAsia="zh-TW"/>
        </w:rPr>
      </w:pPr>
    </w:p>
    <w:p w14:paraId="41DDD552" w14:textId="77777777" w:rsidR="00522F62" w:rsidRPr="00522F62" w:rsidRDefault="00522F62" w:rsidP="00522F62">
      <w:pPr>
        <w:rPr>
          <w:rFonts w:eastAsiaTheme="minorEastAsia"/>
          <w:lang w:eastAsia="zh-TW"/>
        </w:rPr>
      </w:pPr>
    </w:p>
    <w:p w14:paraId="764D793C" w14:textId="77777777" w:rsidR="00522F62" w:rsidRPr="00522F62" w:rsidRDefault="00522F62" w:rsidP="00522F62">
      <w:pPr>
        <w:rPr>
          <w:rFonts w:eastAsiaTheme="minorEastAsia"/>
          <w:b/>
          <w:bCs/>
          <w:sz w:val="24"/>
          <w:szCs w:val="32"/>
          <w:u w:val="single"/>
          <w:lang w:eastAsia="zh-TW"/>
        </w:rPr>
      </w:pPr>
      <w:r w:rsidRPr="00522F62">
        <w:rPr>
          <w:rFonts w:eastAsiaTheme="minorEastAsia"/>
          <w:b/>
          <w:bCs/>
          <w:sz w:val="24"/>
          <w:szCs w:val="32"/>
          <w:u w:val="single"/>
          <w:lang w:eastAsia="zh-TW"/>
        </w:rPr>
        <w:lastRenderedPageBreak/>
        <w:t>MC cell support for contiguous 400 MHz bandwidth</w:t>
      </w:r>
    </w:p>
    <w:p w14:paraId="1530F9D2" w14:textId="77777777" w:rsidR="00522F62" w:rsidRPr="00522F62" w:rsidRDefault="00522F62" w:rsidP="00522F62">
      <w:pPr>
        <w:rPr>
          <w:rFonts w:ascii="Times New Roman" w:eastAsiaTheme="minorEastAsia" w:hAnsi="Times New Roman"/>
          <w:lang w:eastAsia="zh-TW"/>
        </w:rPr>
      </w:pPr>
    </w:p>
    <w:p w14:paraId="12ECAD0E" w14:textId="77777777" w:rsidR="00522F62" w:rsidRPr="00522F62" w:rsidRDefault="00522F62" w:rsidP="00522F62">
      <w:pPr>
        <w:jc w:val="both"/>
        <w:rPr>
          <w:rFonts w:ascii="Times New Roman" w:eastAsiaTheme="minorEastAsia" w:hAnsi="Times New Roman"/>
          <w:lang w:eastAsia="zh-TW"/>
        </w:rPr>
      </w:pPr>
      <w:r w:rsidRPr="00522F62">
        <w:rPr>
          <w:rFonts w:ascii="Times New Roman" w:eastAsiaTheme="minorEastAsia" w:hAnsi="Times New Roman"/>
          <w:lang w:eastAsia="zh-TW"/>
        </w:rPr>
        <w:t>Supporting contiguous 400 MHz bandwidth at the UE is one use case for the MC cell framework. As shown in Figure A</w:t>
      </w:r>
      <w:r w:rsidRPr="00522F62">
        <w:rPr>
          <w:rFonts w:ascii="Times New Roman" w:eastAsiaTheme="minorEastAsia" w:hAnsi="Times New Roman"/>
          <w:lang w:eastAsia="zh-TW"/>
        </w:rPr>
        <w:noBreakHyphen/>
        <w:t>2, two carriers are configured as a single logical cell. The SSB on Carrier 1 provides the synchronization reference for both carriers. A large bandwidth part (BWP) can be configured to cover both carriers, providing scheduling flexibility for the network. To schedule PDSCH/PUSCH across carriers, only a single DCI is needed, reducing scheduling overhead. Because the two carriers are configured in the same cell, they share the same HARQ entity; retransmissions can be flexibly scheduled on any carrier within the cell, reducing data latency and enhancing user throughput. When a large bandwidth is unnecessary, as shown in Figure A</w:t>
      </w:r>
      <w:r w:rsidRPr="00522F62">
        <w:rPr>
          <w:rFonts w:ascii="Times New Roman" w:eastAsiaTheme="minorEastAsia" w:hAnsi="Times New Roman"/>
          <w:lang w:eastAsia="zh-TW"/>
        </w:rPr>
        <w:noBreakHyphen/>
        <w:t>3, the BS can switch the UE to a smaller BWP to enable fast carrier deactivation and reduce UE power consumption.</w:t>
      </w:r>
    </w:p>
    <w:p w14:paraId="1CB7BBAB" w14:textId="77777777" w:rsidR="00522F62" w:rsidRPr="00522F62" w:rsidRDefault="00522F62" w:rsidP="00522F62">
      <w:pPr>
        <w:rPr>
          <w:rFonts w:ascii="Times New Roman" w:eastAsiaTheme="minorEastAsia" w:hAnsi="Times New Roman"/>
          <w:lang w:eastAsia="zh-TW"/>
        </w:rPr>
      </w:pPr>
    </w:p>
    <w:p w14:paraId="4FA750D5" w14:textId="77777777" w:rsidR="00522F62" w:rsidRPr="00522F62" w:rsidRDefault="00522F62" w:rsidP="00522F62">
      <w:pPr>
        <w:jc w:val="both"/>
        <w:rPr>
          <w:rFonts w:ascii="Times New Roman" w:eastAsiaTheme="minorEastAsia" w:hAnsi="Times New Roman"/>
          <w:lang w:eastAsia="zh-TW"/>
        </w:rPr>
      </w:pPr>
      <w:r w:rsidRPr="00522F62">
        <w:rPr>
          <w:rFonts w:ascii="Times New Roman" w:eastAsiaTheme="minorEastAsia" w:hAnsi="Times New Roman"/>
          <w:lang w:eastAsia="zh-TW"/>
        </w:rPr>
        <w:t>Beyond contiguous carriers, the MC cell framework can be extended to support wider spectrum aggregation, including intra</w:t>
      </w:r>
      <w:r w:rsidRPr="00522F62">
        <w:rPr>
          <w:rFonts w:ascii="Times New Roman" w:eastAsiaTheme="minorEastAsia" w:hAnsi="Times New Roman"/>
          <w:lang w:eastAsia="zh-TW"/>
        </w:rPr>
        <w:noBreakHyphen/>
        <w:t>band non</w:t>
      </w:r>
      <w:r w:rsidRPr="00522F62">
        <w:rPr>
          <w:rFonts w:ascii="Times New Roman" w:eastAsiaTheme="minorEastAsia" w:hAnsi="Times New Roman"/>
          <w:lang w:eastAsia="zh-TW"/>
        </w:rPr>
        <w:noBreakHyphen/>
        <w:t>contiguous carriers and nearby inter</w:t>
      </w:r>
      <w:r w:rsidRPr="00522F62">
        <w:rPr>
          <w:rFonts w:ascii="Times New Roman" w:eastAsiaTheme="minorEastAsia" w:hAnsi="Times New Roman"/>
          <w:lang w:eastAsia="zh-TW"/>
        </w:rPr>
        <w:noBreakHyphen/>
        <w:t>band carriers, when synchronization requirements across carriers can be met, thereby enabling a unified framework for spectrum aggregation.</w:t>
      </w:r>
    </w:p>
    <w:p w14:paraId="60D4E0AE" w14:textId="77777777" w:rsidR="00522F62" w:rsidRPr="00522F62" w:rsidRDefault="00522F62" w:rsidP="00522F62">
      <w:pPr>
        <w:rPr>
          <w:rFonts w:eastAsiaTheme="minorEastAsia"/>
          <w:lang w:eastAsia="zh-TW"/>
        </w:rPr>
      </w:pPr>
    </w:p>
    <w:p w14:paraId="61BC633A" w14:textId="0C07C752" w:rsidR="00522F62" w:rsidRPr="00522F62" w:rsidRDefault="00522F62" w:rsidP="00522F62">
      <w:pPr>
        <w:jc w:val="center"/>
        <w:rPr>
          <w:rFonts w:eastAsiaTheme="minorEastAsia"/>
          <w:lang w:eastAsia="zh-TW"/>
        </w:rPr>
      </w:pPr>
      <w:r>
        <w:rPr>
          <w:noProof/>
        </w:rPr>
        <w:drawing>
          <wp:inline distT="0" distB="0" distL="0" distR="0" wp14:anchorId="442C34F2" wp14:editId="4796DE98">
            <wp:extent cx="3601085" cy="149098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01085" cy="1490980"/>
                    </a:xfrm>
                    <a:prstGeom prst="rect">
                      <a:avLst/>
                    </a:prstGeom>
                    <a:noFill/>
                    <a:ln>
                      <a:noFill/>
                    </a:ln>
                  </pic:spPr>
                </pic:pic>
              </a:graphicData>
            </a:graphic>
          </wp:inline>
        </w:drawing>
      </w:r>
    </w:p>
    <w:p w14:paraId="1337971E" w14:textId="77777777" w:rsidR="00522F62" w:rsidRPr="00522F62" w:rsidRDefault="00522F62" w:rsidP="00522F62">
      <w:pPr>
        <w:jc w:val="center"/>
        <w:rPr>
          <w:rFonts w:eastAsiaTheme="minorEastAsia"/>
          <w:lang w:eastAsia="zh-TW"/>
        </w:rPr>
      </w:pPr>
    </w:p>
    <w:p w14:paraId="56AD14B7" w14:textId="77777777" w:rsidR="00522F62" w:rsidRPr="00522F62" w:rsidRDefault="00522F62" w:rsidP="00522F62">
      <w:pPr>
        <w:jc w:val="center"/>
        <w:rPr>
          <w:rFonts w:ascii="Times New Roman" w:eastAsia="新細明體" w:hAnsi="Times New Roman"/>
          <w:b/>
          <w:bCs/>
          <w:lang w:eastAsia="zh-TW"/>
        </w:rPr>
      </w:pPr>
      <w:r w:rsidRPr="00522F62">
        <w:rPr>
          <w:b/>
          <w:bCs/>
        </w:rPr>
        <w:t>Figure A-2</w:t>
      </w:r>
      <w:r w:rsidRPr="00522F62">
        <w:rPr>
          <w:rFonts w:ascii="Times New Roman" w:eastAsia="新細明體" w:hAnsi="Times New Roman"/>
          <w:b/>
          <w:bCs/>
          <w:lang w:eastAsia="zh-TW"/>
        </w:rPr>
        <w:t>. Illustration of carrier aggregation in a MC cell</w:t>
      </w:r>
    </w:p>
    <w:p w14:paraId="4900A0DF" w14:textId="77777777" w:rsidR="00522F62" w:rsidRPr="00522F62" w:rsidRDefault="00522F62" w:rsidP="00522F62">
      <w:pPr>
        <w:jc w:val="center"/>
        <w:rPr>
          <w:rFonts w:eastAsiaTheme="minorEastAsia"/>
          <w:lang w:eastAsia="zh-TW"/>
        </w:rPr>
      </w:pPr>
    </w:p>
    <w:p w14:paraId="38287689" w14:textId="08ACF31B" w:rsidR="00522F62" w:rsidRPr="00522F62" w:rsidRDefault="00522F62" w:rsidP="00522F62">
      <w:pPr>
        <w:jc w:val="center"/>
        <w:rPr>
          <w:rFonts w:eastAsiaTheme="minorEastAsia"/>
          <w:lang w:eastAsia="zh-TW"/>
        </w:rPr>
      </w:pPr>
      <w:r>
        <w:rPr>
          <w:noProof/>
        </w:rPr>
        <w:drawing>
          <wp:inline distT="0" distB="0" distL="0" distR="0" wp14:anchorId="6EF8032D" wp14:editId="312084E4">
            <wp:extent cx="3601085" cy="1716405"/>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01085" cy="1716405"/>
                    </a:xfrm>
                    <a:prstGeom prst="rect">
                      <a:avLst/>
                    </a:prstGeom>
                    <a:noFill/>
                    <a:ln>
                      <a:noFill/>
                    </a:ln>
                  </pic:spPr>
                </pic:pic>
              </a:graphicData>
            </a:graphic>
          </wp:inline>
        </w:drawing>
      </w:r>
    </w:p>
    <w:p w14:paraId="0358325A" w14:textId="77777777" w:rsidR="00522F62" w:rsidRPr="00522F62" w:rsidRDefault="00522F62" w:rsidP="00522F62">
      <w:pPr>
        <w:jc w:val="center"/>
        <w:rPr>
          <w:b/>
          <w:bCs/>
        </w:rPr>
      </w:pPr>
    </w:p>
    <w:p w14:paraId="272C83D7" w14:textId="69904C3B" w:rsidR="00522F62" w:rsidRPr="00522F62" w:rsidRDefault="00522F62" w:rsidP="005346A6">
      <w:pPr>
        <w:jc w:val="center"/>
        <w:rPr>
          <w:rFonts w:eastAsiaTheme="minorEastAsia"/>
          <w:lang w:eastAsia="zh-TW"/>
        </w:rPr>
      </w:pPr>
      <w:r w:rsidRPr="00522F62">
        <w:rPr>
          <w:b/>
          <w:bCs/>
        </w:rPr>
        <w:t>Figure A-3</w:t>
      </w:r>
      <w:r w:rsidRPr="00522F62">
        <w:rPr>
          <w:rFonts w:ascii="Times New Roman" w:eastAsia="新細明體" w:hAnsi="Times New Roman"/>
          <w:b/>
          <w:bCs/>
          <w:lang w:eastAsia="zh-TW"/>
        </w:rPr>
        <w:t>. Illustration of bandwidth adaptation across carriers in a MC cell</w:t>
      </w:r>
    </w:p>
    <w:sectPr w:rsidR="00522F62" w:rsidRPr="00522F6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0A7810" w14:textId="77777777" w:rsidR="00D82310" w:rsidRDefault="00D82310" w:rsidP="00B90C62">
      <w:r>
        <w:separator/>
      </w:r>
    </w:p>
  </w:endnote>
  <w:endnote w:type="continuationSeparator" w:id="0">
    <w:p w14:paraId="3D589929" w14:textId="77777777" w:rsidR="00D82310" w:rsidRDefault="00D82310"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24000" w14:textId="77777777" w:rsidR="00D82310" w:rsidRDefault="00D82310" w:rsidP="00B90C62">
      <w:r>
        <w:separator/>
      </w:r>
    </w:p>
  </w:footnote>
  <w:footnote w:type="continuationSeparator" w:id="0">
    <w:p w14:paraId="15F3327F" w14:textId="77777777" w:rsidR="00D82310" w:rsidRDefault="00D82310"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2448D"/>
    <w:multiLevelType w:val="hybridMultilevel"/>
    <w:tmpl w:val="5042750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5287626"/>
    <w:multiLevelType w:val="hybridMultilevel"/>
    <w:tmpl w:val="E004825C"/>
    <w:lvl w:ilvl="0" w:tplc="A1C0BB14">
      <w:start w:val="1"/>
      <w:numFmt w:val="bullet"/>
      <w:lvlText w:val="‐"/>
      <w:lvlJc w:val="left"/>
      <w:pPr>
        <w:ind w:left="480" w:hanging="480"/>
      </w:pPr>
      <w:rPr>
        <w:rFonts w:ascii="新細明體" w:eastAsia="新細明體" w:hAnsi="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7D64660"/>
    <w:multiLevelType w:val="hybridMultilevel"/>
    <w:tmpl w:val="1C60F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633C3B"/>
    <w:multiLevelType w:val="hybridMultilevel"/>
    <w:tmpl w:val="C618F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6641DDD"/>
    <w:multiLevelType w:val="hybridMultilevel"/>
    <w:tmpl w:val="D854B73C"/>
    <w:lvl w:ilvl="0" w:tplc="A1C0BB14">
      <w:start w:val="1"/>
      <w:numFmt w:val="bullet"/>
      <w:lvlText w:val="‐"/>
      <w:lvlJc w:val="left"/>
      <w:pPr>
        <w:ind w:left="480" w:hanging="480"/>
      </w:pPr>
      <w:rPr>
        <w:rFonts w:ascii="新細明體" w:eastAsia="新細明體" w:hAnsi="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6A15EE7"/>
    <w:multiLevelType w:val="multilevel"/>
    <w:tmpl w:val="176293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8" w15:restartNumberingAfterBreak="0">
    <w:nsid w:val="1BD579BB"/>
    <w:multiLevelType w:val="hybridMultilevel"/>
    <w:tmpl w:val="BE5AF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CE169F"/>
    <w:multiLevelType w:val="hybridMultilevel"/>
    <w:tmpl w:val="801ADA36"/>
    <w:lvl w:ilvl="0" w:tplc="0409000F">
      <w:start w:val="1"/>
      <w:numFmt w:val="decimal"/>
      <w:lvlText w:val="%1."/>
      <w:lvlJc w:val="left"/>
      <w:pPr>
        <w:ind w:left="480" w:hanging="480"/>
      </w:pPr>
      <w:rPr>
        <w:rFont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0" w15:restartNumberingAfterBreak="0">
    <w:nsid w:val="246A3867"/>
    <w:multiLevelType w:val="hybridMultilevel"/>
    <w:tmpl w:val="680615A8"/>
    <w:lvl w:ilvl="0" w:tplc="08090011">
      <w:start w:val="1"/>
      <w:numFmt w:val="decimal"/>
      <w:lvlText w:val="%1)"/>
      <w:lvlJc w:val="left"/>
      <w:pPr>
        <w:ind w:left="480" w:hanging="480"/>
      </w:pPr>
      <w:rPr>
        <w:rFont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1" w15:restartNumberingAfterBreak="0">
    <w:nsid w:val="385C661F"/>
    <w:multiLevelType w:val="hybridMultilevel"/>
    <w:tmpl w:val="74C2C290"/>
    <w:lvl w:ilvl="0" w:tplc="99F00FD0">
      <w:start w:val="1"/>
      <w:numFmt w:val="bullet"/>
      <w:lvlText w:val=""/>
      <w:lvlJc w:val="left"/>
      <w:pPr>
        <w:ind w:left="480" w:hanging="480"/>
      </w:pPr>
      <w:rPr>
        <w:rFonts w:ascii="Symbol" w:hAnsi="Symbol" w:hint="default"/>
        <w:sz w:val="20"/>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2"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3" w15:restartNumberingAfterBreak="0">
    <w:nsid w:val="3CB64F27"/>
    <w:multiLevelType w:val="hybridMultilevel"/>
    <w:tmpl w:val="8D0208A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50CF4C14"/>
    <w:multiLevelType w:val="hybridMultilevel"/>
    <w:tmpl w:val="3B70C660"/>
    <w:lvl w:ilvl="0" w:tplc="08090011">
      <w:start w:val="1"/>
      <w:numFmt w:val="decimal"/>
      <w:lvlText w:val="%1)"/>
      <w:lvlJc w:val="left"/>
      <w:pPr>
        <w:ind w:left="480" w:hanging="480"/>
      </w:pPr>
    </w:lvl>
    <w:lvl w:ilvl="1" w:tplc="FFFFFFFF">
      <w:numFmt w:val="decimal"/>
      <w:lvlText w:val=""/>
      <w:lvlJc w:val="left"/>
      <w:pPr>
        <w:ind w:left="960" w:hanging="480"/>
      </w:pPr>
      <w:rPr>
        <w:rFonts w:ascii="Wingdings" w:hAnsi="Wingdings" w:hint="default"/>
      </w:rPr>
    </w:lvl>
    <w:lvl w:ilvl="2" w:tplc="FFFFFFFF">
      <w:numFmt w:val="decimal"/>
      <w:lvlText w:val=""/>
      <w:lvlJc w:val="left"/>
      <w:pPr>
        <w:ind w:left="1440" w:hanging="480"/>
      </w:pPr>
      <w:rPr>
        <w:rFonts w:ascii="Wingdings" w:hAnsi="Wingdings" w:hint="default"/>
      </w:rPr>
    </w:lvl>
    <w:lvl w:ilvl="3" w:tplc="FFFFFFFF">
      <w:numFmt w:val="decimal"/>
      <w:lvlText w:val=""/>
      <w:lvlJc w:val="left"/>
      <w:pPr>
        <w:ind w:left="1920" w:hanging="480"/>
      </w:pPr>
      <w:rPr>
        <w:rFonts w:ascii="Wingdings" w:hAnsi="Wingdings" w:hint="default"/>
      </w:rPr>
    </w:lvl>
    <w:lvl w:ilvl="4" w:tplc="FFFFFFFF">
      <w:numFmt w:val="decimal"/>
      <w:lvlText w:val=""/>
      <w:lvlJc w:val="left"/>
      <w:pPr>
        <w:ind w:left="2400" w:hanging="480"/>
      </w:pPr>
      <w:rPr>
        <w:rFonts w:ascii="Wingdings" w:hAnsi="Wingdings" w:hint="default"/>
      </w:rPr>
    </w:lvl>
    <w:lvl w:ilvl="5" w:tplc="FFFFFFFF">
      <w:numFmt w:val="decimal"/>
      <w:lvlText w:val=""/>
      <w:lvlJc w:val="left"/>
      <w:pPr>
        <w:ind w:left="2880" w:hanging="480"/>
      </w:pPr>
      <w:rPr>
        <w:rFonts w:ascii="Wingdings" w:hAnsi="Wingdings" w:hint="default"/>
      </w:rPr>
    </w:lvl>
    <w:lvl w:ilvl="6" w:tplc="FFFFFFFF">
      <w:numFmt w:val="decimal"/>
      <w:lvlText w:val=""/>
      <w:lvlJc w:val="left"/>
      <w:pPr>
        <w:ind w:left="3360" w:hanging="480"/>
      </w:pPr>
      <w:rPr>
        <w:rFonts w:ascii="Wingdings" w:hAnsi="Wingdings" w:hint="default"/>
      </w:rPr>
    </w:lvl>
    <w:lvl w:ilvl="7" w:tplc="FFFFFFFF">
      <w:numFmt w:val="decimal"/>
      <w:lvlText w:val=""/>
      <w:lvlJc w:val="left"/>
      <w:pPr>
        <w:ind w:left="3840" w:hanging="480"/>
      </w:pPr>
      <w:rPr>
        <w:rFonts w:ascii="Wingdings" w:hAnsi="Wingdings" w:hint="default"/>
      </w:rPr>
    </w:lvl>
    <w:lvl w:ilvl="8" w:tplc="FFFFFFFF">
      <w:numFmt w:val="decimal"/>
      <w:lvlText w:val=""/>
      <w:lvlJc w:val="left"/>
      <w:pPr>
        <w:ind w:left="4320" w:hanging="480"/>
      </w:pPr>
      <w:rPr>
        <w:rFonts w:ascii="Wingdings" w:hAnsi="Wingdings" w:hint="default"/>
      </w:rPr>
    </w:lvl>
  </w:abstractNum>
  <w:abstractNum w:abstractNumId="16" w15:restartNumberingAfterBreak="0">
    <w:nsid w:val="58632125"/>
    <w:multiLevelType w:val="hybridMultilevel"/>
    <w:tmpl w:val="B0E033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5A657B4"/>
    <w:multiLevelType w:val="multilevel"/>
    <w:tmpl w:val="BDAE3D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6C319F3"/>
    <w:multiLevelType w:val="hybridMultilevel"/>
    <w:tmpl w:val="29D0765C"/>
    <w:lvl w:ilvl="0" w:tplc="4A0E5A08">
      <w:start w:val="1"/>
      <w:numFmt w:val="bullet"/>
      <w:lvlText w:val=""/>
      <w:lvlJc w:val="left"/>
      <w:pPr>
        <w:ind w:left="320" w:hanging="360"/>
      </w:pPr>
      <w:rPr>
        <w:rFonts w:ascii="Symbol" w:hAnsi="Symbol" w:hint="default"/>
        <w:sz w:val="20"/>
        <w:szCs w:val="20"/>
      </w:rPr>
    </w:lvl>
    <w:lvl w:ilvl="1" w:tplc="08090003">
      <w:start w:val="1"/>
      <w:numFmt w:val="bullet"/>
      <w:lvlText w:val="o"/>
      <w:lvlJc w:val="left"/>
      <w:pPr>
        <w:ind w:left="1040" w:hanging="360"/>
      </w:pPr>
      <w:rPr>
        <w:rFonts w:ascii="Courier New" w:hAnsi="Courier New" w:cs="Courier New" w:hint="default"/>
      </w:rPr>
    </w:lvl>
    <w:lvl w:ilvl="2" w:tplc="08090005">
      <w:start w:val="1"/>
      <w:numFmt w:val="bullet"/>
      <w:lvlText w:val=""/>
      <w:lvlJc w:val="left"/>
      <w:pPr>
        <w:ind w:left="1760" w:hanging="360"/>
      </w:pPr>
      <w:rPr>
        <w:rFonts w:ascii="Wingdings" w:hAnsi="Wingdings" w:hint="default"/>
      </w:rPr>
    </w:lvl>
    <w:lvl w:ilvl="3" w:tplc="08090001">
      <w:start w:val="1"/>
      <w:numFmt w:val="bullet"/>
      <w:lvlText w:val=""/>
      <w:lvlJc w:val="left"/>
      <w:pPr>
        <w:ind w:left="2480" w:hanging="360"/>
      </w:pPr>
      <w:rPr>
        <w:rFonts w:ascii="Symbol" w:hAnsi="Symbol" w:hint="default"/>
      </w:rPr>
    </w:lvl>
    <w:lvl w:ilvl="4" w:tplc="08090003">
      <w:start w:val="1"/>
      <w:numFmt w:val="bullet"/>
      <w:lvlText w:val="o"/>
      <w:lvlJc w:val="left"/>
      <w:pPr>
        <w:ind w:left="3200" w:hanging="360"/>
      </w:pPr>
      <w:rPr>
        <w:rFonts w:ascii="Courier New" w:hAnsi="Courier New" w:cs="Courier New" w:hint="default"/>
      </w:rPr>
    </w:lvl>
    <w:lvl w:ilvl="5" w:tplc="08090005">
      <w:start w:val="1"/>
      <w:numFmt w:val="bullet"/>
      <w:lvlText w:val=""/>
      <w:lvlJc w:val="left"/>
      <w:pPr>
        <w:ind w:left="3920" w:hanging="360"/>
      </w:pPr>
      <w:rPr>
        <w:rFonts w:ascii="Wingdings" w:hAnsi="Wingdings" w:hint="default"/>
      </w:rPr>
    </w:lvl>
    <w:lvl w:ilvl="6" w:tplc="08090001">
      <w:start w:val="1"/>
      <w:numFmt w:val="bullet"/>
      <w:lvlText w:val=""/>
      <w:lvlJc w:val="left"/>
      <w:pPr>
        <w:ind w:left="4640" w:hanging="360"/>
      </w:pPr>
      <w:rPr>
        <w:rFonts w:ascii="Symbol" w:hAnsi="Symbol" w:hint="default"/>
      </w:rPr>
    </w:lvl>
    <w:lvl w:ilvl="7" w:tplc="08090003">
      <w:start w:val="1"/>
      <w:numFmt w:val="bullet"/>
      <w:lvlText w:val="o"/>
      <w:lvlJc w:val="left"/>
      <w:pPr>
        <w:ind w:left="5360" w:hanging="360"/>
      </w:pPr>
      <w:rPr>
        <w:rFonts w:ascii="Courier New" w:hAnsi="Courier New" w:cs="Courier New" w:hint="default"/>
      </w:rPr>
    </w:lvl>
    <w:lvl w:ilvl="8" w:tplc="08090005">
      <w:start w:val="1"/>
      <w:numFmt w:val="bullet"/>
      <w:lvlText w:val=""/>
      <w:lvlJc w:val="left"/>
      <w:pPr>
        <w:ind w:left="6080" w:hanging="360"/>
      </w:pPr>
      <w:rPr>
        <w:rFonts w:ascii="Wingdings" w:hAnsi="Wingdings" w:hint="default"/>
      </w:rPr>
    </w:lvl>
  </w:abstractNum>
  <w:abstractNum w:abstractNumId="19" w15:restartNumberingAfterBreak="0">
    <w:nsid w:val="67364BFF"/>
    <w:multiLevelType w:val="hybridMultilevel"/>
    <w:tmpl w:val="BD96CFF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70A1184E"/>
    <w:multiLevelType w:val="hybridMultilevel"/>
    <w:tmpl w:val="D35C1D24"/>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716A408B"/>
    <w:multiLevelType w:val="hybridMultilevel"/>
    <w:tmpl w:val="8FBA434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73001243"/>
    <w:multiLevelType w:val="multilevel"/>
    <w:tmpl w:val="8F60D1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3A67174"/>
    <w:multiLevelType w:val="hybridMultilevel"/>
    <w:tmpl w:val="5D64368A"/>
    <w:lvl w:ilvl="0" w:tplc="A1C0BB14">
      <w:start w:val="1"/>
      <w:numFmt w:val="bullet"/>
      <w:lvlText w:val="‐"/>
      <w:lvlJc w:val="left"/>
      <w:pPr>
        <w:ind w:left="1200" w:hanging="480"/>
      </w:pPr>
      <w:rPr>
        <w:rFonts w:ascii="新細明體" w:eastAsia="新細明體" w:hAnsi="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2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7EE74854"/>
    <w:multiLevelType w:val="hybridMultilevel"/>
    <w:tmpl w:val="3B70C660"/>
    <w:lvl w:ilvl="0" w:tplc="08090011">
      <w:start w:val="1"/>
      <w:numFmt w:val="decimal"/>
      <w:lvlText w:val="%1)"/>
      <w:lvlJc w:val="left"/>
      <w:pPr>
        <w:ind w:left="480" w:hanging="480"/>
      </w:p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num w:numId="1" w16cid:durableId="1486974860">
    <w:abstractNumId w:val="7"/>
  </w:num>
  <w:num w:numId="2" w16cid:durableId="151801805">
    <w:abstractNumId w:val="12"/>
  </w:num>
  <w:num w:numId="3" w16cid:durableId="13310631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97367466">
    <w:abstractNumId w:val="19"/>
  </w:num>
  <w:num w:numId="5" w16cid:durableId="176968088">
    <w:abstractNumId w:val="21"/>
  </w:num>
  <w:num w:numId="6" w16cid:durableId="362218245">
    <w:abstractNumId w:val="0"/>
  </w:num>
  <w:num w:numId="7" w16cid:durableId="1475021014">
    <w:abstractNumId w:val="21"/>
  </w:num>
  <w:num w:numId="8" w16cid:durableId="1168405845">
    <w:abstractNumId w:val="0"/>
  </w:num>
  <w:num w:numId="9" w16cid:durableId="1889605602">
    <w:abstractNumId w:val="19"/>
  </w:num>
  <w:num w:numId="10" w16cid:durableId="1691908630">
    <w:abstractNumId w:val="24"/>
  </w:num>
  <w:num w:numId="11" w16cid:durableId="1639527336">
    <w:abstractNumId w:val="23"/>
  </w:num>
  <w:num w:numId="12" w16cid:durableId="733164775">
    <w:abstractNumId w:val="16"/>
  </w:num>
  <w:num w:numId="13" w16cid:durableId="764230262">
    <w:abstractNumId w:val="20"/>
  </w:num>
  <w:num w:numId="14" w16cid:durableId="1288731255">
    <w:abstractNumId w:val="1"/>
  </w:num>
  <w:num w:numId="15" w16cid:durableId="2024936762">
    <w:abstractNumId w:val="5"/>
  </w:num>
  <w:num w:numId="16" w16cid:durableId="1575047644">
    <w:abstractNumId w:val="1"/>
  </w:num>
  <w:num w:numId="17" w16cid:durableId="222374382">
    <w:abstractNumId w:val="5"/>
  </w:num>
  <w:num w:numId="18" w16cid:durableId="933589203">
    <w:abstractNumId w:val="4"/>
  </w:num>
  <w:num w:numId="19" w16cid:durableId="1281954567">
    <w:abstractNumId w:val="25"/>
    <w:lvlOverride w:ilvl="0">
      <w:startOverride w:val="1"/>
    </w:lvlOverride>
    <w:lvlOverride w:ilvl="1"/>
    <w:lvlOverride w:ilvl="2"/>
    <w:lvlOverride w:ilvl="3"/>
    <w:lvlOverride w:ilvl="4"/>
    <w:lvlOverride w:ilvl="5"/>
    <w:lvlOverride w:ilvl="6"/>
    <w:lvlOverride w:ilvl="7"/>
    <w:lvlOverride w:ilvl="8"/>
  </w:num>
  <w:num w:numId="20" w16cid:durableId="863637463">
    <w:abstractNumId w:val="11"/>
  </w:num>
  <w:num w:numId="21" w16cid:durableId="817919121">
    <w:abstractNumId w:val="13"/>
  </w:num>
  <w:num w:numId="22" w16cid:durableId="353307756">
    <w:abstractNumId w:val="9"/>
  </w:num>
  <w:num w:numId="23" w16cid:durableId="319971298">
    <w:abstractNumId w:val="10"/>
  </w:num>
  <w:num w:numId="24" w16cid:durableId="79107826">
    <w:abstractNumId w:val="7"/>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05563817">
    <w:abstractNumId w:val="10"/>
    <w:lvlOverride w:ilvl="0">
      <w:startOverride w:val="1"/>
    </w:lvlOverride>
    <w:lvlOverride w:ilvl="1"/>
    <w:lvlOverride w:ilvl="2"/>
    <w:lvlOverride w:ilvl="3"/>
    <w:lvlOverride w:ilvl="4"/>
    <w:lvlOverride w:ilvl="5"/>
    <w:lvlOverride w:ilvl="6"/>
    <w:lvlOverride w:ilvl="7"/>
    <w:lvlOverride w:ilvl="8"/>
  </w:num>
  <w:num w:numId="26" w16cid:durableId="1157501390">
    <w:abstractNumId w:val="14"/>
  </w:num>
  <w:num w:numId="27" w16cid:durableId="1436366546">
    <w:abstractNumId w:val="18"/>
  </w:num>
  <w:num w:numId="28" w16cid:durableId="633604726">
    <w:abstractNumId w:val="2"/>
  </w:num>
  <w:num w:numId="29" w16cid:durableId="755368172">
    <w:abstractNumId w:val="2"/>
  </w:num>
  <w:num w:numId="30" w16cid:durableId="1710493873">
    <w:abstractNumId w:val="15"/>
  </w:num>
  <w:num w:numId="31" w16cid:durableId="1340766021">
    <w:abstractNumId w:val="11"/>
  </w:num>
  <w:num w:numId="32" w16cid:durableId="909660912">
    <w:abstractNumId w:val="22"/>
  </w:num>
  <w:num w:numId="33" w16cid:durableId="1442653469">
    <w:abstractNumId w:val="6"/>
  </w:num>
  <w:num w:numId="34" w16cid:durableId="788401971">
    <w:abstractNumId w:val="17"/>
  </w:num>
  <w:num w:numId="35" w16cid:durableId="403339956">
    <w:abstractNumId w:val="10"/>
    <w:lvlOverride w:ilvl="0">
      <w:startOverride w:val="1"/>
    </w:lvlOverride>
    <w:lvlOverride w:ilvl="1"/>
    <w:lvlOverride w:ilvl="2"/>
    <w:lvlOverride w:ilvl="3"/>
    <w:lvlOverride w:ilvl="4"/>
    <w:lvlOverride w:ilvl="5"/>
    <w:lvlOverride w:ilvl="6"/>
    <w:lvlOverride w:ilvl="7"/>
    <w:lvlOverride w:ilvl="8"/>
  </w:num>
  <w:num w:numId="36" w16cid:durableId="1183860561">
    <w:abstractNumId w:val="2"/>
  </w:num>
  <w:num w:numId="37" w16cid:durableId="99955776">
    <w:abstractNumId w:val="15"/>
    <w:lvlOverride w:ilvl="0">
      <w:startOverride w:val="1"/>
    </w:lvlOverride>
    <w:lvlOverride w:ilvl="1"/>
    <w:lvlOverride w:ilvl="2"/>
    <w:lvlOverride w:ilvl="3"/>
    <w:lvlOverride w:ilvl="4"/>
    <w:lvlOverride w:ilvl="5"/>
    <w:lvlOverride w:ilvl="6"/>
    <w:lvlOverride w:ilvl="7"/>
    <w:lvlOverride w:ilvl="8"/>
  </w:num>
  <w:num w:numId="38" w16cid:durableId="1575820376">
    <w:abstractNumId w:val="3"/>
  </w:num>
  <w:num w:numId="39" w16cid:durableId="311250445">
    <w:abstractNumId w:val="8"/>
  </w:num>
  <w:num w:numId="40" w16cid:durableId="55588291">
    <w:abstractNumId w:val="8"/>
  </w:num>
  <w:num w:numId="41" w16cid:durableId="65229154">
    <w:abstractNumId w:val="10"/>
    <w:lvlOverride w:ilvl="0">
      <w:startOverride w:val="1"/>
    </w:lvlOverride>
    <w:lvlOverride w:ilvl="1"/>
    <w:lvlOverride w:ilvl="2"/>
    <w:lvlOverride w:ilvl="3"/>
    <w:lvlOverride w:ilvl="4"/>
    <w:lvlOverride w:ilvl="5"/>
    <w:lvlOverride w:ilvl="6"/>
    <w:lvlOverride w:ilvl="7"/>
    <w:lvlOverride w:ilvl="8"/>
  </w:num>
  <w:num w:numId="42" w16cid:durableId="178203080">
    <w:abstractNumId w:val="2"/>
    <w:lvlOverride w:ilvl="0"/>
    <w:lvlOverride w:ilvl="1"/>
    <w:lvlOverride w:ilvl="2"/>
    <w:lvlOverride w:ilvl="3"/>
    <w:lvlOverride w:ilvl="4"/>
    <w:lvlOverride w:ilvl="5"/>
    <w:lvlOverride w:ilvl="6"/>
    <w:lvlOverride w:ilvl="7"/>
    <w:lvlOverride w:ilvl="8"/>
  </w:num>
  <w:num w:numId="43" w16cid:durableId="1974602609">
    <w:abstractNumId w:val="8"/>
    <w:lvlOverride w:ilvl="0"/>
    <w:lvlOverride w:ilvl="1"/>
    <w:lvlOverride w:ilvl="2"/>
    <w:lvlOverride w:ilvl="3"/>
    <w:lvlOverride w:ilvl="4"/>
    <w:lvlOverride w:ilvl="5"/>
    <w:lvlOverride w:ilvl="6"/>
    <w:lvlOverride w:ilvl="7"/>
    <w:lvlOverride w:ilv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1D5A"/>
    <w:rsid w:val="00003182"/>
    <w:rsid w:val="00005492"/>
    <w:rsid w:val="0000708C"/>
    <w:rsid w:val="000103AF"/>
    <w:rsid w:val="00010D92"/>
    <w:rsid w:val="00015BA6"/>
    <w:rsid w:val="00020D18"/>
    <w:rsid w:val="00022A7B"/>
    <w:rsid w:val="000239DB"/>
    <w:rsid w:val="000243F3"/>
    <w:rsid w:val="0002556E"/>
    <w:rsid w:val="000260CF"/>
    <w:rsid w:val="000269B7"/>
    <w:rsid w:val="00027199"/>
    <w:rsid w:val="000273D6"/>
    <w:rsid w:val="000300BD"/>
    <w:rsid w:val="00031F79"/>
    <w:rsid w:val="00032AFF"/>
    <w:rsid w:val="00035BA4"/>
    <w:rsid w:val="00040385"/>
    <w:rsid w:val="00040B8C"/>
    <w:rsid w:val="000412FB"/>
    <w:rsid w:val="000414BB"/>
    <w:rsid w:val="00041849"/>
    <w:rsid w:val="000435A8"/>
    <w:rsid w:val="000465DD"/>
    <w:rsid w:val="00051149"/>
    <w:rsid w:val="000512DA"/>
    <w:rsid w:val="00051A98"/>
    <w:rsid w:val="0005254E"/>
    <w:rsid w:val="00054151"/>
    <w:rsid w:val="00055529"/>
    <w:rsid w:val="000565BE"/>
    <w:rsid w:val="00057319"/>
    <w:rsid w:val="000573EB"/>
    <w:rsid w:val="00060311"/>
    <w:rsid w:val="00061E66"/>
    <w:rsid w:val="000620FA"/>
    <w:rsid w:val="0006399C"/>
    <w:rsid w:val="00065B44"/>
    <w:rsid w:val="000705B0"/>
    <w:rsid w:val="00070E24"/>
    <w:rsid w:val="00071A85"/>
    <w:rsid w:val="00074093"/>
    <w:rsid w:val="00075E21"/>
    <w:rsid w:val="000776E5"/>
    <w:rsid w:val="00080AED"/>
    <w:rsid w:val="00082886"/>
    <w:rsid w:val="00083E01"/>
    <w:rsid w:val="00085046"/>
    <w:rsid w:val="00087FED"/>
    <w:rsid w:val="00093AF3"/>
    <w:rsid w:val="00093F01"/>
    <w:rsid w:val="00095BAE"/>
    <w:rsid w:val="00096B12"/>
    <w:rsid w:val="000A01D4"/>
    <w:rsid w:val="000A04F6"/>
    <w:rsid w:val="000A191E"/>
    <w:rsid w:val="000A1DE3"/>
    <w:rsid w:val="000A2165"/>
    <w:rsid w:val="000A3F0A"/>
    <w:rsid w:val="000A73A6"/>
    <w:rsid w:val="000A7F6A"/>
    <w:rsid w:val="000B3EEA"/>
    <w:rsid w:val="000B40E9"/>
    <w:rsid w:val="000B49A7"/>
    <w:rsid w:val="000B70E9"/>
    <w:rsid w:val="000C1656"/>
    <w:rsid w:val="000C2354"/>
    <w:rsid w:val="000C457E"/>
    <w:rsid w:val="000C6C16"/>
    <w:rsid w:val="000C72AF"/>
    <w:rsid w:val="000C7E6B"/>
    <w:rsid w:val="000D09A9"/>
    <w:rsid w:val="000D0D58"/>
    <w:rsid w:val="000D21EB"/>
    <w:rsid w:val="000D5617"/>
    <w:rsid w:val="000D6BAC"/>
    <w:rsid w:val="000D7537"/>
    <w:rsid w:val="000E0167"/>
    <w:rsid w:val="000E055C"/>
    <w:rsid w:val="000E096D"/>
    <w:rsid w:val="000E1CAE"/>
    <w:rsid w:val="000E20F0"/>
    <w:rsid w:val="000E3866"/>
    <w:rsid w:val="000E3BAF"/>
    <w:rsid w:val="000E4052"/>
    <w:rsid w:val="000E4AD3"/>
    <w:rsid w:val="000E5105"/>
    <w:rsid w:val="000F108A"/>
    <w:rsid w:val="000F1DEB"/>
    <w:rsid w:val="000F32E0"/>
    <w:rsid w:val="000F353B"/>
    <w:rsid w:val="000F3B00"/>
    <w:rsid w:val="000F5A23"/>
    <w:rsid w:val="000F6112"/>
    <w:rsid w:val="0010037D"/>
    <w:rsid w:val="00100551"/>
    <w:rsid w:val="00100576"/>
    <w:rsid w:val="00102054"/>
    <w:rsid w:val="0010285B"/>
    <w:rsid w:val="00104B63"/>
    <w:rsid w:val="00105710"/>
    <w:rsid w:val="0010645D"/>
    <w:rsid w:val="00111B87"/>
    <w:rsid w:val="00113E4E"/>
    <w:rsid w:val="00114159"/>
    <w:rsid w:val="00115582"/>
    <w:rsid w:val="001155D8"/>
    <w:rsid w:val="0011607B"/>
    <w:rsid w:val="00120408"/>
    <w:rsid w:val="00121273"/>
    <w:rsid w:val="00121763"/>
    <w:rsid w:val="00122B22"/>
    <w:rsid w:val="00126172"/>
    <w:rsid w:val="0012656A"/>
    <w:rsid w:val="00127231"/>
    <w:rsid w:val="0013052A"/>
    <w:rsid w:val="00130582"/>
    <w:rsid w:val="0013148A"/>
    <w:rsid w:val="00131854"/>
    <w:rsid w:val="001324B3"/>
    <w:rsid w:val="0013376E"/>
    <w:rsid w:val="00133DEA"/>
    <w:rsid w:val="001348AA"/>
    <w:rsid w:val="001353BB"/>
    <w:rsid w:val="00136453"/>
    <w:rsid w:val="00137A38"/>
    <w:rsid w:val="00140BA7"/>
    <w:rsid w:val="0014311C"/>
    <w:rsid w:val="001458BA"/>
    <w:rsid w:val="00147F9E"/>
    <w:rsid w:val="001501A8"/>
    <w:rsid w:val="00151920"/>
    <w:rsid w:val="001525F5"/>
    <w:rsid w:val="001537B5"/>
    <w:rsid w:val="00156F97"/>
    <w:rsid w:val="00160CD3"/>
    <w:rsid w:val="0016301B"/>
    <w:rsid w:val="00165DF3"/>
    <w:rsid w:val="00166F8A"/>
    <w:rsid w:val="0017043D"/>
    <w:rsid w:val="00171475"/>
    <w:rsid w:val="00173ECF"/>
    <w:rsid w:val="00175694"/>
    <w:rsid w:val="001761C2"/>
    <w:rsid w:val="0017645A"/>
    <w:rsid w:val="00176888"/>
    <w:rsid w:val="0017756E"/>
    <w:rsid w:val="00181273"/>
    <w:rsid w:val="0018370D"/>
    <w:rsid w:val="00184259"/>
    <w:rsid w:val="00186632"/>
    <w:rsid w:val="0018733D"/>
    <w:rsid w:val="00190AD9"/>
    <w:rsid w:val="001918EA"/>
    <w:rsid w:val="00193045"/>
    <w:rsid w:val="00194014"/>
    <w:rsid w:val="00194D35"/>
    <w:rsid w:val="00194F12"/>
    <w:rsid w:val="00194FDA"/>
    <w:rsid w:val="00195C43"/>
    <w:rsid w:val="00197652"/>
    <w:rsid w:val="00197A14"/>
    <w:rsid w:val="001A0A45"/>
    <w:rsid w:val="001A3919"/>
    <w:rsid w:val="001A5488"/>
    <w:rsid w:val="001A6376"/>
    <w:rsid w:val="001A6DA7"/>
    <w:rsid w:val="001B05E9"/>
    <w:rsid w:val="001B0BDA"/>
    <w:rsid w:val="001B1626"/>
    <w:rsid w:val="001B2373"/>
    <w:rsid w:val="001B2FC8"/>
    <w:rsid w:val="001B5A3C"/>
    <w:rsid w:val="001B5C15"/>
    <w:rsid w:val="001B7779"/>
    <w:rsid w:val="001C05D6"/>
    <w:rsid w:val="001C12E3"/>
    <w:rsid w:val="001C20B1"/>
    <w:rsid w:val="001D0707"/>
    <w:rsid w:val="001D43C5"/>
    <w:rsid w:val="001D741F"/>
    <w:rsid w:val="001E194E"/>
    <w:rsid w:val="001E20B2"/>
    <w:rsid w:val="001E2640"/>
    <w:rsid w:val="001E3880"/>
    <w:rsid w:val="001E3C8D"/>
    <w:rsid w:val="001E4211"/>
    <w:rsid w:val="001E4388"/>
    <w:rsid w:val="001E570D"/>
    <w:rsid w:val="001E6DBE"/>
    <w:rsid w:val="001E7B84"/>
    <w:rsid w:val="001F2B9B"/>
    <w:rsid w:val="001F444D"/>
    <w:rsid w:val="001F5C1C"/>
    <w:rsid w:val="00200C91"/>
    <w:rsid w:val="002025EE"/>
    <w:rsid w:val="002046FF"/>
    <w:rsid w:val="00204949"/>
    <w:rsid w:val="00206294"/>
    <w:rsid w:val="0020759B"/>
    <w:rsid w:val="0021004B"/>
    <w:rsid w:val="0021049A"/>
    <w:rsid w:val="00210B7B"/>
    <w:rsid w:val="0021287D"/>
    <w:rsid w:val="00212CA0"/>
    <w:rsid w:val="00213570"/>
    <w:rsid w:val="00214092"/>
    <w:rsid w:val="0021420B"/>
    <w:rsid w:val="00215434"/>
    <w:rsid w:val="0022369A"/>
    <w:rsid w:val="00223796"/>
    <w:rsid w:val="00223ECD"/>
    <w:rsid w:val="002262B1"/>
    <w:rsid w:val="00227193"/>
    <w:rsid w:val="0022743C"/>
    <w:rsid w:val="00232993"/>
    <w:rsid w:val="00232CB5"/>
    <w:rsid w:val="00232EEE"/>
    <w:rsid w:val="002332EE"/>
    <w:rsid w:val="00234F58"/>
    <w:rsid w:val="002366F5"/>
    <w:rsid w:val="00237255"/>
    <w:rsid w:val="0024499B"/>
    <w:rsid w:val="00244AC5"/>
    <w:rsid w:val="00245A98"/>
    <w:rsid w:val="00245BCE"/>
    <w:rsid w:val="0024604A"/>
    <w:rsid w:val="00247ABD"/>
    <w:rsid w:val="0025250D"/>
    <w:rsid w:val="0025273F"/>
    <w:rsid w:val="00253364"/>
    <w:rsid w:val="002533B5"/>
    <w:rsid w:val="002533C5"/>
    <w:rsid w:val="00253DEB"/>
    <w:rsid w:val="002568A0"/>
    <w:rsid w:val="00257AA7"/>
    <w:rsid w:val="00257ABE"/>
    <w:rsid w:val="00257AFC"/>
    <w:rsid w:val="0026268C"/>
    <w:rsid w:val="00264E43"/>
    <w:rsid w:val="00265227"/>
    <w:rsid w:val="002654A8"/>
    <w:rsid w:val="00266A7E"/>
    <w:rsid w:val="00267CFC"/>
    <w:rsid w:val="00271E4C"/>
    <w:rsid w:val="002721C9"/>
    <w:rsid w:val="00272D6A"/>
    <w:rsid w:val="002769E0"/>
    <w:rsid w:val="00277B84"/>
    <w:rsid w:val="002809FA"/>
    <w:rsid w:val="00281B43"/>
    <w:rsid w:val="00281DDE"/>
    <w:rsid w:val="0028201F"/>
    <w:rsid w:val="00282EB3"/>
    <w:rsid w:val="00283E00"/>
    <w:rsid w:val="00286381"/>
    <w:rsid w:val="00287E08"/>
    <w:rsid w:val="00295B07"/>
    <w:rsid w:val="00296B80"/>
    <w:rsid w:val="002A0BDF"/>
    <w:rsid w:val="002A18AA"/>
    <w:rsid w:val="002A2209"/>
    <w:rsid w:val="002A2D4C"/>
    <w:rsid w:val="002A2DF5"/>
    <w:rsid w:val="002A4869"/>
    <w:rsid w:val="002A4CB3"/>
    <w:rsid w:val="002A6BE2"/>
    <w:rsid w:val="002A7181"/>
    <w:rsid w:val="002B038D"/>
    <w:rsid w:val="002B1227"/>
    <w:rsid w:val="002B1A67"/>
    <w:rsid w:val="002C05E6"/>
    <w:rsid w:val="002C06EB"/>
    <w:rsid w:val="002C09B3"/>
    <w:rsid w:val="002C0D2E"/>
    <w:rsid w:val="002C1316"/>
    <w:rsid w:val="002C3CE1"/>
    <w:rsid w:val="002C4019"/>
    <w:rsid w:val="002C40B3"/>
    <w:rsid w:val="002C426F"/>
    <w:rsid w:val="002C5817"/>
    <w:rsid w:val="002C5C38"/>
    <w:rsid w:val="002C61C9"/>
    <w:rsid w:val="002C656E"/>
    <w:rsid w:val="002D12F8"/>
    <w:rsid w:val="002D1389"/>
    <w:rsid w:val="002D1EFE"/>
    <w:rsid w:val="002D30BC"/>
    <w:rsid w:val="002D46AF"/>
    <w:rsid w:val="002D496D"/>
    <w:rsid w:val="002D71C3"/>
    <w:rsid w:val="002E0C99"/>
    <w:rsid w:val="002E4E3E"/>
    <w:rsid w:val="002F0586"/>
    <w:rsid w:val="002F0E38"/>
    <w:rsid w:val="002F183A"/>
    <w:rsid w:val="002F26DD"/>
    <w:rsid w:val="002F2BA7"/>
    <w:rsid w:val="002F309C"/>
    <w:rsid w:val="002F4B7A"/>
    <w:rsid w:val="002F54B7"/>
    <w:rsid w:val="002F7345"/>
    <w:rsid w:val="00301C44"/>
    <w:rsid w:val="00304082"/>
    <w:rsid w:val="00305BD6"/>
    <w:rsid w:val="00306FB8"/>
    <w:rsid w:val="0031010B"/>
    <w:rsid w:val="003109AC"/>
    <w:rsid w:val="003132EB"/>
    <w:rsid w:val="0031457C"/>
    <w:rsid w:val="003145E7"/>
    <w:rsid w:val="0031503F"/>
    <w:rsid w:val="00315C81"/>
    <w:rsid w:val="00317C49"/>
    <w:rsid w:val="00320CE3"/>
    <w:rsid w:val="0032307F"/>
    <w:rsid w:val="003239B2"/>
    <w:rsid w:val="0032614C"/>
    <w:rsid w:val="00330D45"/>
    <w:rsid w:val="0033111D"/>
    <w:rsid w:val="00331251"/>
    <w:rsid w:val="0033293B"/>
    <w:rsid w:val="00332D7D"/>
    <w:rsid w:val="003337E2"/>
    <w:rsid w:val="003363F1"/>
    <w:rsid w:val="003430FD"/>
    <w:rsid w:val="0034387F"/>
    <w:rsid w:val="00343F60"/>
    <w:rsid w:val="003441B7"/>
    <w:rsid w:val="003475D7"/>
    <w:rsid w:val="0034761C"/>
    <w:rsid w:val="00353C34"/>
    <w:rsid w:val="003540D3"/>
    <w:rsid w:val="00354175"/>
    <w:rsid w:val="00354F43"/>
    <w:rsid w:val="0035609B"/>
    <w:rsid w:val="0035743C"/>
    <w:rsid w:val="003613D4"/>
    <w:rsid w:val="00361A7F"/>
    <w:rsid w:val="0036220A"/>
    <w:rsid w:val="00362A87"/>
    <w:rsid w:val="00363CDA"/>
    <w:rsid w:val="00371241"/>
    <w:rsid w:val="00372F41"/>
    <w:rsid w:val="00373895"/>
    <w:rsid w:val="00373B1A"/>
    <w:rsid w:val="0037426B"/>
    <w:rsid w:val="00374674"/>
    <w:rsid w:val="00374C41"/>
    <w:rsid w:val="00375F8C"/>
    <w:rsid w:val="003809FE"/>
    <w:rsid w:val="00382E94"/>
    <w:rsid w:val="003908C8"/>
    <w:rsid w:val="00390A93"/>
    <w:rsid w:val="00392719"/>
    <w:rsid w:val="0039556F"/>
    <w:rsid w:val="00397721"/>
    <w:rsid w:val="00397DA9"/>
    <w:rsid w:val="003A174E"/>
    <w:rsid w:val="003A3F38"/>
    <w:rsid w:val="003A659B"/>
    <w:rsid w:val="003A755A"/>
    <w:rsid w:val="003B0D10"/>
    <w:rsid w:val="003B2306"/>
    <w:rsid w:val="003B30F4"/>
    <w:rsid w:val="003B55DC"/>
    <w:rsid w:val="003B5B4C"/>
    <w:rsid w:val="003B637D"/>
    <w:rsid w:val="003B64B9"/>
    <w:rsid w:val="003C2243"/>
    <w:rsid w:val="003C37A0"/>
    <w:rsid w:val="003C426F"/>
    <w:rsid w:val="003C75F6"/>
    <w:rsid w:val="003D23CF"/>
    <w:rsid w:val="003D2454"/>
    <w:rsid w:val="003D27C7"/>
    <w:rsid w:val="003D43EC"/>
    <w:rsid w:val="003D7232"/>
    <w:rsid w:val="003E15D1"/>
    <w:rsid w:val="003E42DB"/>
    <w:rsid w:val="003E4455"/>
    <w:rsid w:val="003E5189"/>
    <w:rsid w:val="003E51B6"/>
    <w:rsid w:val="003F0897"/>
    <w:rsid w:val="003F2778"/>
    <w:rsid w:val="003F4D03"/>
    <w:rsid w:val="003F5FBD"/>
    <w:rsid w:val="003F68F3"/>
    <w:rsid w:val="003F6DD5"/>
    <w:rsid w:val="003F703D"/>
    <w:rsid w:val="003F7120"/>
    <w:rsid w:val="003F789B"/>
    <w:rsid w:val="003F7B64"/>
    <w:rsid w:val="003F7F52"/>
    <w:rsid w:val="00402F8E"/>
    <w:rsid w:val="00404A28"/>
    <w:rsid w:val="00404EB7"/>
    <w:rsid w:val="00405549"/>
    <w:rsid w:val="00405C4B"/>
    <w:rsid w:val="00407029"/>
    <w:rsid w:val="004121FA"/>
    <w:rsid w:val="00412381"/>
    <w:rsid w:val="00412404"/>
    <w:rsid w:val="00413633"/>
    <w:rsid w:val="00414126"/>
    <w:rsid w:val="00414A08"/>
    <w:rsid w:val="00414CF9"/>
    <w:rsid w:val="004174D2"/>
    <w:rsid w:val="00417509"/>
    <w:rsid w:val="00420140"/>
    <w:rsid w:val="00421A4F"/>
    <w:rsid w:val="00423410"/>
    <w:rsid w:val="004241D7"/>
    <w:rsid w:val="00424AE0"/>
    <w:rsid w:val="00424B08"/>
    <w:rsid w:val="00427CEC"/>
    <w:rsid w:val="00430ED8"/>
    <w:rsid w:val="00431184"/>
    <w:rsid w:val="00432D19"/>
    <w:rsid w:val="00432DA2"/>
    <w:rsid w:val="00433EAE"/>
    <w:rsid w:val="004349D4"/>
    <w:rsid w:val="00434C6F"/>
    <w:rsid w:val="00436E9B"/>
    <w:rsid w:val="00437412"/>
    <w:rsid w:val="00437F4E"/>
    <w:rsid w:val="004414CB"/>
    <w:rsid w:val="0044180B"/>
    <w:rsid w:val="004439E2"/>
    <w:rsid w:val="00444E5D"/>
    <w:rsid w:val="004457F5"/>
    <w:rsid w:val="0044690B"/>
    <w:rsid w:val="00446D4B"/>
    <w:rsid w:val="00447C43"/>
    <w:rsid w:val="00452CF8"/>
    <w:rsid w:val="00453628"/>
    <w:rsid w:val="00455E3C"/>
    <w:rsid w:val="00461117"/>
    <w:rsid w:val="0046236B"/>
    <w:rsid w:val="00463491"/>
    <w:rsid w:val="00464454"/>
    <w:rsid w:val="00464869"/>
    <w:rsid w:val="00464EAA"/>
    <w:rsid w:val="00464F55"/>
    <w:rsid w:val="00465691"/>
    <w:rsid w:val="00466726"/>
    <w:rsid w:val="004668D6"/>
    <w:rsid w:val="00470CC1"/>
    <w:rsid w:val="0047281E"/>
    <w:rsid w:val="00473D6F"/>
    <w:rsid w:val="00473FD8"/>
    <w:rsid w:val="004748C3"/>
    <w:rsid w:val="00474D3B"/>
    <w:rsid w:val="004754E3"/>
    <w:rsid w:val="00476F0B"/>
    <w:rsid w:val="0047794E"/>
    <w:rsid w:val="00485819"/>
    <w:rsid w:val="004860CB"/>
    <w:rsid w:val="00491223"/>
    <w:rsid w:val="00491918"/>
    <w:rsid w:val="00491DA7"/>
    <w:rsid w:val="004940CC"/>
    <w:rsid w:val="004944E8"/>
    <w:rsid w:val="00494C21"/>
    <w:rsid w:val="00495869"/>
    <w:rsid w:val="00496E57"/>
    <w:rsid w:val="00497510"/>
    <w:rsid w:val="00497A59"/>
    <w:rsid w:val="004A0FA5"/>
    <w:rsid w:val="004A1DDF"/>
    <w:rsid w:val="004A2D31"/>
    <w:rsid w:val="004A2E7E"/>
    <w:rsid w:val="004A3102"/>
    <w:rsid w:val="004A529F"/>
    <w:rsid w:val="004A5D60"/>
    <w:rsid w:val="004A6B56"/>
    <w:rsid w:val="004A7545"/>
    <w:rsid w:val="004A7620"/>
    <w:rsid w:val="004B00FF"/>
    <w:rsid w:val="004B1278"/>
    <w:rsid w:val="004B2268"/>
    <w:rsid w:val="004B44E8"/>
    <w:rsid w:val="004B456B"/>
    <w:rsid w:val="004B4FD2"/>
    <w:rsid w:val="004C05ED"/>
    <w:rsid w:val="004C07C6"/>
    <w:rsid w:val="004D16BF"/>
    <w:rsid w:val="004D21A3"/>
    <w:rsid w:val="004D56E8"/>
    <w:rsid w:val="004D599C"/>
    <w:rsid w:val="004E2ED9"/>
    <w:rsid w:val="004E34C7"/>
    <w:rsid w:val="004E4153"/>
    <w:rsid w:val="004E57DA"/>
    <w:rsid w:val="004E6B26"/>
    <w:rsid w:val="004E6C74"/>
    <w:rsid w:val="004E718F"/>
    <w:rsid w:val="004F104B"/>
    <w:rsid w:val="004F1B5D"/>
    <w:rsid w:val="004F543C"/>
    <w:rsid w:val="004F59E4"/>
    <w:rsid w:val="004F5E6E"/>
    <w:rsid w:val="0050089C"/>
    <w:rsid w:val="00500F63"/>
    <w:rsid w:val="005012B1"/>
    <w:rsid w:val="0050138D"/>
    <w:rsid w:val="0050423A"/>
    <w:rsid w:val="005049DD"/>
    <w:rsid w:val="005059C0"/>
    <w:rsid w:val="00506210"/>
    <w:rsid w:val="00507DB8"/>
    <w:rsid w:val="00511437"/>
    <w:rsid w:val="005130EA"/>
    <w:rsid w:val="005161A1"/>
    <w:rsid w:val="00516BFA"/>
    <w:rsid w:val="00517634"/>
    <w:rsid w:val="00522F62"/>
    <w:rsid w:val="00526C7D"/>
    <w:rsid w:val="00530C09"/>
    <w:rsid w:val="005317D6"/>
    <w:rsid w:val="005346A6"/>
    <w:rsid w:val="00534AF4"/>
    <w:rsid w:val="0053509D"/>
    <w:rsid w:val="005358B6"/>
    <w:rsid w:val="0053759B"/>
    <w:rsid w:val="00542A91"/>
    <w:rsid w:val="00543A97"/>
    <w:rsid w:val="0054416D"/>
    <w:rsid w:val="00552A92"/>
    <w:rsid w:val="0055371B"/>
    <w:rsid w:val="00553D1F"/>
    <w:rsid w:val="0055537C"/>
    <w:rsid w:val="00555641"/>
    <w:rsid w:val="00561EA1"/>
    <w:rsid w:val="0056287A"/>
    <w:rsid w:val="005643AB"/>
    <w:rsid w:val="0056448A"/>
    <w:rsid w:val="00566860"/>
    <w:rsid w:val="00566895"/>
    <w:rsid w:val="0056691A"/>
    <w:rsid w:val="0056738E"/>
    <w:rsid w:val="00567DD3"/>
    <w:rsid w:val="00571D8B"/>
    <w:rsid w:val="005735AD"/>
    <w:rsid w:val="005751DE"/>
    <w:rsid w:val="00575FF4"/>
    <w:rsid w:val="00576D4C"/>
    <w:rsid w:val="00581124"/>
    <w:rsid w:val="005817BC"/>
    <w:rsid w:val="00581CAB"/>
    <w:rsid w:val="00581F46"/>
    <w:rsid w:val="00583030"/>
    <w:rsid w:val="00583382"/>
    <w:rsid w:val="00583A57"/>
    <w:rsid w:val="0058428E"/>
    <w:rsid w:val="00585020"/>
    <w:rsid w:val="00585885"/>
    <w:rsid w:val="005868AF"/>
    <w:rsid w:val="0058725E"/>
    <w:rsid w:val="00587482"/>
    <w:rsid w:val="00591DA0"/>
    <w:rsid w:val="00592867"/>
    <w:rsid w:val="005938C0"/>
    <w:rsid w:val="00593D5E"/>
    <w:rsid w:val="005947B5"/>
    <w:rsid w:val="00594E12"/>
    <w:rsid w:val="00595B9F"/>
    <w:rsid w:val="005969A9"/>
    <w:rsid w:val="00596A32"/>
    <w:rsid w:val="005A170C"/>
    <w:rsid w:val="005A2660"/>
    <w:rsid w:val="005A296E"/>
    <w:rsid w:val="005A54C8"/>
    <w:rsid w:val="005A639C"/>
    <w:rsid w:val="005A718E"/>
    <w:rsid w:val="005A75D3"/>
    <w:rsid w:val="005B654C"/>
    <w:rsid w:val="005B7E8C"/>
    <w:rsid w:val="005C1938"/>
    <w:rsid w:val="005C27A4"/>
    <w:rsid w:val="005C2EBD"/>
    <w:rsid w:val="005C3890"/>
    <w:rsid w:val="005C46C5"/>
    <w:rsid w:val="005C4708"/>
    <w:rsid w:val="005C4AC9"/>
    <w:rsid w:val="005C5001"/>
    <w:rsid w:val="005D3E0E"/>
    <w:rsid w:val="005D452C"/>
    <w:rsid w:val="005D5206"/>
    <w:rsid w:val="005D6A7C"/>
    <w:rsid w:val="005D7D22"/>
    <w:rsid w:val="005E0F03"/>
    <w:rsid w:val="005E1AA5"/>
    <w:rsid w:val="005E41CF"/>
    <w:rsid w:val="005E455B"/>
    <w:rsid w:val="005E5B2F"/>
    <w:rsid w:val="005E5CA4"/>
    <w:rsid w:val="005F33FC"/>
    <w:rsid w:val="005F4237"/>
    <w:rsid w:val="005F45F7"/>
    <w:rsid w:val="005F4771"/>
    <w:rsid w:val="005F4DA9"/>
    <w:rsid w:val="005F7FBB"/>
    <w:rsid w:val="006008C2"/>
    <w:rsid w:val="00602FD0"/>
    <w:rsid w:val="006053BF"/>
    <w:rsid w:val="00610E57"/>
    <w:rsid w:val="0061133C"/>
    <w:rsid w:val="00612149"/>
    <w:rsid w:val="00613A5A"/>
    <w:rsid w:val="00614FA3"/>
    <w:rsid w:val="0061617A"/>
    <w:rsid w:val="00616BFF"/>
    <w:rsid w:val="00620850"/>
    <w:rsid w:val="00621A65"/>
    <w:rsid w:val="006228D1"/>
    <w:rsid w:val="00626989"/>
    <w:rsid w:val="00632C85"/>
    <w:rsid w:val="00633557"/>
    <w:rsid w:val="006338F6"/>
    <w:rsid w:val="0063439B"/>
    <w:rsid w:val="00636B81"/>
    <w:rsid w:val="00636F49"/>
    <w:rsid w:val="00637C27"/>
    <w:rsid w:val="006401F8"/>
    <w:rsid w:val="00640344"/>
    <w:rsid w:val="00640431"/>
    <w:rsid w:val="00642444"/>
    <w:rsid w:val="006436FA"/>
    <w:rsid w:val="0064376D"/>
    <w:rsid w:val="00644361"/>
    <w:rsid w:val="00645206"/>
    <w:rsid w:val="00646A6E"/>
    <w:rsid w:val="00646C78"/>
    <w:rsid w:val="006535DB"/>
    <w:rsid w:val="00655442"/>
    <w:rsid w:val="0065577A"/>
    <w:rsid w:val="0065594A"/>
    <w:rsid w:val="00660937"/>
    <w:rsid w:val="006632A3"/>
    <w:rsid w:val="00664362"/>
    <w:rsid w:val="006654C2"/>
    <w:rsid w:val="00667E99"/>
    <w:rsid w:val="00671793"/>
    <w:rsid w:val="00673661"/>
    <w:rsid w:val="00675417"/>
    <w:rsid w:val="00675ADE"/>
    <w:rsid w:val="00675EDC"/>
    <w:rsid w:val="00681987"/>
    <w:rsid w:val="00681D72"/>
    <w:rsid w:val="00682008"/>
    <w:rsid w:val="006832E3"/>
    <w:rsid w:val="00686B9F"/>
    <w:rsid w:val="00690684"/>
    <w:rsid w:val="00691946"/>
    <w:rsid w:val="006923E7"/>
    <w:rsid w:val="0069391C"/>
    <w:rsid w:val="006959FA"/>
    <w:rsid w:val="00696F63"/>
    <w:rsid w:val="0069725E"/>
    <w:rsid w:val="00697274"/>
    <w:rsid w:val="00697A4D"/>
    <w:rsid w:val="00697FBF"/>
    <w:rsid w:val="006A1BF7"/>
    <w:rsid w:val="006A23D4"/>
    <w:rsid w:val="006A24F5"/>
    <w:rsid w:val="006A2F77"/>
    <w:rsid w:val="006A410C"/>
    <w:rsid w:val="006A6053"/>
    <w:rsid w:val="006A613C"/>
    <w:rsid w:val="006A6C52"/>
    <w:rsid w:val="006A6E0F"/>
    <w:rsid w:val="006A7E5F"/>
    <w:rsid w:val="006B05D2"/>
    <w:rsid w:val="006B2A45"/>
    <w:rsid w:val="006B3ECB"/>
    <w:rsid w:val="006B5146"/>
    <w:rsid w:val="006B64F8"/>
    <w:rsid w:val="006C094A"/>
    <w:rsid w:val="006C19DC"/>
    <w:rsid w:val="006C48E5"/>
    <w:rsid w:val="006C5BB8"/>
    <w:rsid w:val="006D1D85"/>
    <w:rsid w:val="006D27AD"/>
    <w:rsid w:val="006D3AA9"/>
    <w:rsid w:val="006D40C6"/>
    <w:rsid w:val="006D4DC1"/>
    <w:rsid w:val="006D54C7"/>
    <w:rsid w:val="006D5BF7"/>
    <w:rsid w:val="006E1E54"/>
    <w:rsid w:val="006E32E5"/>
    <w:rsid w:val="006E4E75"/>
    <w:rsid w:val="006E6495"/>
    <w:rsid w:val="006E6537"/>
    <w:rsid w:val="006E6A45"/>
    <w:rsid w:val="006F0537"/>
    <w:rsid w:val="006F13D4"/>
    <w:rsid w:val="006F35A2"/>
    <w:rsid w:val="00700DE0"/>
    <w:rsid w:val="007011DC"/>
    <w:rsid w:val="00702A78"/>
    <w:rsid w:val="00703CB5"/>
    <w:rsid w:val="00703D4C"/>
    <w:rsid w:val="00704352"/>
    <w:rsid w:val="00705B2A"/>
    <w:rsid w:val="00706D7A"/>
    <w:rsid w:val="00714FFF"/>
    <w:rsid w:val="00716348"/>
    <w:rsid w:val="00716DB0"/>
    <w:rsid w:val="00721EBE"/>
    <w:rsid w:val="00725214"/>
    <w:rsid w:val="0072567C"/>
    <w:rsid w:val="0072626A"/>
    <w:rsid w:val="007270F9"/>
    <w:rsid w:val="007315B6"/>
    <w:rsid w:val="0073237D"/>
    <w:rsid w:val="00733961"/>
    <w:rsid w:val="00736EB0"/>
    <w:rsid w:val="007371EE"/>
    <w:rsid w:val="0074040B"/>
    <w:rsid w:val="0074056D"/>
    <w:rsid w:val="007408BF"/>
    <w:rsid w:val="00743D90"/>
    <w:rsid w:val="00744871"/>
    <w:rsid w:val="007454D0"/>
    <w:rsid w:val="00745D83"/>
    <w:rsid w:val="007473C3"/>
    <w:rsid w:val="00750DB6"/>
    <w:rsid w:val="00751C00"/>
    <w:rsid w:val="007549FE"/>
    <w:rsid w:val="00754C8D"/>
    <w:rsid w:val="00754EC2"/>
    <w:rsid w:val="00755938"/>
    <w:rsid w:val="007578BD"/>
    <w:rsid w:val="007604E8"/>
    <w:rsid w:val="0076357D"/>
    <w:rsid w:val="00764D78"/>
    <w:rsid w:val="00764E35"/>
    <w:rsid w:val="007651DE"/>
    <w:rsid w:val="00767D40"/>
    <w:rsid w:val="00771372"/>
    <w:rsid w:val="00771451"/>
    <w:rsid w:val="00775642"/>
    <w:rsid w:val="00775E11"/>
    <w:rsid w:val="007802CF"/>
    <w:rsid w:val="007829A6"/>
    <w:rsid w:val="00782F1A"/>
    <w:rsid w:val="00784F2D"/>
    <w:rsid w:val="00785692"/>
    <w:rsid w:val="007900F6"/>
    <w:rsid w:val="00790BE5"/>
    <w:rsid w:val="00791AE0"/>
    <w:rsid w:val="00792956"/>
    <w:rsid w:val="00793633"/>
    <w:rsid w:val="007941DE"/>
    <w:rsid w:val="00795F70"/>
    <w:rsid w:val="0079729E"/>
    <w:rsid w:val="0079774E"/>
    <w:rsid w:val="007A0313"/>
    <w:rsid w:val="007A1AFD"/>
    <w:rsid w:val="007A200B"/>
    <w:rsid w:val="007A34C0"/>
    <w:rsid w:val="007A5B06"/>
    <w:rsid w:val="007B1201"/>
    <w:rsid w:val="007B1217"/>
    <w:rsid w:val="007B2417"/>
    <w:rsid w:val="007B2879"/>
    <w:rsid w:val="007B41AA"/>
    <w:rsid w:val="007B5DC9"/>
    <w:rsid w:val="007B6500"/>
    <w:rsid w:val="007B671F"/>
    <w:rsid w:val="007B6A05"/>
    <w:rsid w:val="007C055C"/>
    <w:rsid w:val="007C3F95"/>
    <w:rsid w:val="007C5E4F"/>
    <w:rsid w:val="007D1760"/>
    <w:rsid w:val="007D21B0"/>
    <w:rsid w:val="007D2B8C"/>
    <w:rsid w:val="007D4DC4"/>
    <w:rsid w:val="007D6A74"/>
    <w:rsid w:val="007E00BE"/>
    <w:rsid w:val="007E0191"/>
    <w:rsid w:val="007E7AC8"/>
    <w:rsid w:val="007F0B96"/>
    <w:rsid w:val="007F16E2"/>
    <w:rsid w:val="007F1C34"/>
    <w:rsid w:val="007F2D74"/>
    <w:rsid w:val="007F5D3E"/>
    <w:rsid w:val="00800505"/>
    <w:rsid w:val="0080123A"/>
    <w:rsid w:val="00801896"/>
    <w:rsid w:val="00801FDC"/>
    <w:rsid w:val="00805618"/>
    <w:rsid w:val="00805D17"/>
    <w:rsid w:val="0080749F"/>
    <w:rsid w:val="00810189"/>
    <w:rsid w:val="00811563"/>
    <w:rsid w:val="008143E3"/>
    <w:rsid w:val="00815C3A"/>
    <w:rsid w:val="00817433"/>
    <w:rsid w:val="0082196E"/>
    <w:rsid w:val="00823AFF"/>
    <w:rsid w:val="00824FD5"/>
    <w:rsid w:val="00825274"/>
    <w:rsid w:val="0082599E"/>
    <w:rsid w:val="00826612"/>
    <w:rsid w:val="008303A3"/>
    <w:rsid w:val="00830A2E"/>
    <w:rsid w:val="00831502"/>
    <w:rsid w:val="00831ADC"/>
    <w:rsid w:val="00831E2A"/>
    <w:rsid w:val="00832CCE"/>
    <w:rsid w:val="008333FC"/>
    <w:rsid w:val="00841277"/>
    <w:rsid w:val="00842D11"/>
    <w:rsid w:val="008430DF"/>
    <w:rsid w:val="00843406"/>
    <w:rsid w:val="008455B6"/>
    <w:rsid w:val="008470CA"/>
    <w:rsid w:val="008500B3"/>
    <w:rsid w:val="00853FB5"/>
    <w:rsid w:val="0085447D"/>
    <w:rsid w:val="008549C4"/>
    <w:rsid w:val="00854E64"/>
    <w:rsid w:val="00854F02"/>
    <w:rsid w:val="00855DAA"/>
    <w:rsid w:val="00856546"/>
    <w:rsid w:val="00857064"/>
    <w:rsid w:val="008572A4"/>
    <w:rsid w:val="008616BD"/>
    <w:rsid w:val="0086331E"/>
    <w:rsid w:val="00863690"/>
    <w:rsid w:val="00864FD3"/>
    <w:rsid w:val="008653C7"/>
    <w:rsid w:val="00865E62"/>
    <w:rsid w:val="00867241"/>
    <w:rsid w:val="00867F39"/>
    <w:rsid w:val="00870026"/>
    <w:rsid w:val="008728C2"/>
    <w:rsid w:val="00873D69"/>
    <w:rsid w:val="008800AF"/>
    <w:rsid w:val="008810AF"/>
    <w:rsid w:val="0088265F"/>
    <w:rsid w:val="008839BD"/>
    <w:rsid w:val="008875DE"/>
    <w:rsid w:val="008914DD"/>
    <w:rsid w:val="008936E8"/>
    <w:rsid w:val="0089430F"/>
    <w:rsid w:val="008959A9"/>
    <w:rsid w:val="00895A5A"/>
    <w:rsid w:val="008964CE"/>
    <w:rsid w:val="00897085"/>
    <w:rsid w:val="008A0779"/>
    <w:rsid w:val="008A288F"/>
    <w:rsid w:val="008A3190"/>
    <w:rsid w:val="008A33CB"/>
    <w:rsid w:val="008A3B23"/>
    <w:rsid w:val="008A3DC5"/>
    <w:rsid w:val="008A41FC"/>
    <w:rsid w:val="008A77D9"/>
    <w:rsid w:val="008A785A"/>
    <w:rsid w:val="008A7F92"/>
    <w:rsid w:val="008B0D4F"/>
    <w:rsid w:val="008B0E08"/>
    <w:rsid w:val="008B2887"/>
    <w:rsid w:val="008B3AB1"/>
    <w:rsid w:val="008B6257"/>
    <w:rsid w:val="008B6678"/>
    <w:rsid w:val="008C0333"/>
    <w:rsid w:val="008C0B2F"/>
    <w:rsid w:val="008C2B4B"/>
    <w:rsid w:val="008C353A"/>
    <w:rsid w:val="008C5156"/>
    <w:rsid w:val="008C533D"/>
    <w:rsid w:val="008C7F73"/>
    <w:rsid w:val="008D005A"/>
    <w:rsid w:val="008D24CB"/>
    <w:rsid w:val="008D30A7"/>
    <w:rsid w:val="008D3235"/>
    <w:rsid w:val="008D3353"/>
    <w:rsid w:val="008D385B"/>
    <w:rsid w:val="008D3EC7"/>
    <w:rsid w:val="008D7155"/>
    <w:rsid w:val="008D73DA"/>
    <w:rsid w:val="008D7B62"/>
    <w:rsid w:val="008E55D3"/>
    <w:rsid w:val="008E6472"/>
    <w:rsid w:val="008E7672"/>
    <w:rsid w:val="008E7D4E"/>
    <w:rsid w:val="008F25DE"/>
    <w:rsid w:val="008F2844"/>
    <w:rsid w:val="008F2875"/>
    <w:rsid w:val="008F48DA"/>
    <w:rsid w:val="008F5750"/>
    <w:rsid w:val="008F623A"/>
    <w:rsid w:val="00900FC3"/>
    <w:rsid w:val="00902929"/>
    <w:rsid w:val="0090450E"/>
    <w:rsid w:val="0090640D"/>
    <w:rsid w:val="00910D8C"/>
    <w:rsid w:val="00912476"/>
    <w:rsid w:val="00912979"/>
    <w:rsid w:val="009132D1"/>
    <w:rsid w:val="00921CA8"/>
    <w:rsid w:val="00924022"/>
    <w:rsid w:val="00924848"/>
    <w:rsid w:val="00925116"/>
    <w:rsid w:val="009255D8"/>
    <w:rsid w:val="0092684C"/>
    <w:rsid w:val="009302FB"/>
    <w:rsid w:val="0093103D"/>
    <w:rsid w:val="00932693"/>
    <w:rsid w:val="00933983"/>
    <w:rsid w:val="00934CCB"/>
    <w:rsid w:val="009358CC"/>
    <w:rsid w:val="00936B9D"/>
    <w:rsid w:val="009371FC"/>
    <w:rsid w:val="00937F28"/>
    <w:rsid w:val="00940177"/>
    <w:rsid w:val="00942FA2"/>
    <w:rsid w:val="009433A7"/>
    <w:rsid w:val="00947EBD"/>
    <w:rsid w:val="0095153F"/>
    <w:rsid w:val="00951D4B"/>
    <w:rsid w:val="00954354"/>
    <w:rsid w:val="00954A69"/>
    <w:rsid w:val="00954CBB"/>
    <w:rsid w:val="00954E99"/>
    <w:rsid w:val="00955E88"/>
    <w:rsid w:val="00956664"/>
    <w:rsid w:val="00957CA3"/>
    <w:rsid w:val="009605E9"/>
    <w:rsid w:val="00961C3F"/>
    <w:rsid w:val="00963D3B"/>
    <w:rsid w:val="00964018"/>
    <w:rsid w:val="0096653D"/>
    <w:rsid w:val="00967028"/>
    <w:rsid w:val="00967235"/>
    <w:rsid w:val="00967B3C"/>
    <w:rsid w:val="00967E96"/>
    <w:rsid w:val="00973E9A"/>
    <w:rsid w:val="00977873"/>
    <w:rsid w:val="00982C0E"/>
    <w:rsid w:val="0098735B"/>
    <w:rsid w:val="00987EA7"/>
    <w:rsid w:val="0099144F"/>
    <w:rsid w:val="00993A83"/>
    <w:rsid w:val="00994417"/>
    <w:rsid w:val="009951A4"/>
    <w:rsid w:val="00996ADD"/>
    <w:rsid w:val="009A018C"/>
    <w:rsid w:val="009A046A"/>
    <w:rsid w:val="009A14F4"/>
    <w:rsid w:val="009A3817"/>
    <w:rsid w:val="009A486E"/>
    <w:rsid w:val="009A7236"/>
    <w:rsid w:val="009B1490"/>
    <w:rsid w:val="009B2A08"/>
    <w:rsid w:val="009B3971"/>
    <w:rsid w:val="009B3CC5"/>
    <w:rsid w:val="009B5FDE"/>
    <w:rsid w:val="009B6CEA"/>
    <w:rsid w:val="009B7A0C"/>
    <w:rsid w:val="009C0DBA"/>
    <w:rsid w:val="009C21D4"/>
    <w:rsid w:val="009C414B"/>
    <w:rsid w:val="009D17F1"/>
    <w:rsid w:val="009D38CF"/>
    <w:rsid w:val="009D5C27"/>
    <w:rsid w:val="009D6A4D"/>
    <w:rsid w:val="009D7B4E"/>
    <w:rsid w:val="009E1117"/>
    <w:rsid w:val="009E12F2"/>
    <w:rsid w:val="009E3830"/>
    <w:rsid w:val="009E4681"/>
    <w:rsid w:val="009E47A8"/>
    <w:rsid w:val="009E50CB"/>
    <w:rsid w:val="009E5F3C"/>
    <w:rsid w:val="009F0699"/>
    <w:rsid w:val="009F139C"/>
    <w:rsid w:val="009F25ED"/>
    <w:rsid w:val="009F3704"/>
    <w:rsid w:val="009F55C7"/>
    <w:rsid w:val="009F563C"/>
    <w:rsid w:val="00A05601"/>
    <w:rsid w:val="00A057DC"/>
    <w:rsid w:val="00A06E2C"/>
    <w:rsid w:val="00A07BE4"/>
    <w:rsid w:val="00A13346"/>
    <w:rsid w:val="00A1385A"/>
    <w:rsid w:val="00A13B8D"/>
    <w:rsid w:val="00A1511D"/>
    <w:rsid w:val="00A1620C"/>
    <w:rsid w:val="00A1737E"/>
    <w:rsid w:val="00A176E5"/>
    <w:rsid w:val="00A17A01"/>
    <w:rsid w:val="00A17A07"/>
    <w:rsid w:val="00A214D0"/>
    <w:rsid w:val="00A2167E"/>
    <w:rsid w:val="00A219A6"/>
    <w:rsid w:val="00A222CF"/>
    <w:rsid w:val="00A23BAB"/>
    <w:rsid w:val="00A24B40"/>
    <w:rsid w:val="00A2757F"/>
    <w:rsid w:val="00A275C9"/>
    <w:rsid w:val="00A3198D"/>
    <w:rsid w:val="00A32612"/>
    <w:rsid w:val="00A3292D"/>
    <w:rsid w:val="00A346B2"/>
    <w:rsid w:val="00A34D0A"/>
    <w:rsid w:val="00A34F18"/>
    <w:rsid w:val="00A358BC"/>
    <w:rsid w:val="00A36AB5"/>
    <w:rsid w:val="00A36D85"/>
    <w:rsid w:val="00A41875"/>
    <w:rsid w:val="00A4199B"/>
    <w:rsid w:val="00A42A33"/>
    <w:rsid w:val="00A44490"/>
    <w:rsid w:val="00A4606E"/>
    <w:rsid w:val="00A5082E"/>
    <w:rsid w:val="00A51439"/>
    <w:rsid w:val="00A51542"/>
    <w:rsid w:val="00A54582"/>
    <w:rsid w:val="00A5743F"/>
    <w:rsid w:val="00A627B2"/>
    <w:rsid w:val="00A64A8E"/>
    <w:rsid w:val="00A64AAE"/>
    <w:rsid w:val="00A64DFD"/>
    <w:rsid w:val="00A709DE"/>
    <w:rsid w:val="00A72B70"/>
    <w:rsid w:val="00A72E93"/>
    <w:rsid w:val="00A73174"/>
    <w:rsid w:val="00A77962"/>
    <w:rsid w:val="00A83FA3"/>
    <w:rsid w:val="00A849CA"/>
    <w:rsid w:val="00A9148F"/>
    <w:rsid w:val="00A92B6C"/>
    <w:rsid w:val="00A9719A"/>
    <w:rsid w:val="00A97C19"/>
    <w:rsid w:val="00AA0A1E"/>
    <w:rsid w:val="00AA4605"/>
    <w:rsid w:val="00AA7AAF"/>
    <w:rsid w:val="00AB1B25"/>
    <w:rsid w:val="00AB47C1"/>
    <w:rsid w:val="00AB52AE"/>
    <w:rsid w:val="00AC0659"/>
    <w:rsid w:val="00AC12E1"/>
    <w:rsid w:val="00AC2708"/>
    <w:rsid w:val="00AC2BA4"/>
    <w:rsid w:val="00AC41E2"/>
    <w:rsid w:val="00AC525E"/>
    <w:rsid w:val="00AC5F47"/>
    <w:rsid w:val="00AC74B1"/>
    <w:rsid w:val="00AC77F4"/>
    <w:rsid w:val="00AD1B15"/>
    <w:rsid w:val="00AD37AD"/>
    <w:rsid w:val="00AD6D41"/>
    <w:rsid w:val="00AE029F"/>
    <w:rsid w:val="00AE1A84"/>
    <w:rsid w:val="00AE488C"/>
    <w:rsid w:val="00AE5603"/>
    <w:rsid w:val="00AE6BD6"/>
    <w:rsid w:val="00AE7182"/>
    <w:rsid w:val="00AF1F2C"/>
    <w:rsid w:val="00AF3249"/>
    <w:rsid w:val="00AF5D6C"/>
    <w:rsid w:val="00AF6B5D"/>
    <w:rsid w:val="00AF795E"/>
    <w:rsid w:val="00B00A61"/>
    <w:rsid w:val="00B0100E"/>
    <w:rsid w:val="00B02936"/>
    <w:rsid w:val="00B03281"/>
    <w:rsid w:val="00B0619F"/>
    <w:rsid w:val="00B07484"/>
    <w:rsid w:val="00B077D5"/>
    <w:rsid w:val="00B1129E"/>
    <w:rsid w:val="00B113BF"/>
    <w:rsid w:val="00B13560"/>
    <w:rsid w:val="00B15BD2"/>
    <w:rsid w:val="00B164F8"/>
    <w:rsid w:val="00B16D7E"/>
    <w:rsid w:val="00B2095D"/>
    <w:rsid w:val="00B2298D"/>
    <w:rsid w:val="00B2399B"/>
    <w:rsid w:val="00B31739"/>
    <w:rsid w:val="00B31BAA"/>
    <w:rsid w:val="00B361E0"/>
    <w:rsid w:val="00B371F6"/>
    <w:rsid w:val="00B40398"/>
    <w:rsid w:val="00B405BE"/>
    <w:rsid w:val="00B40895"/>
    <w:rsid w:val="00B43B72"/>
    <w:rsid w:val="00B44143"/>
    <w:rsid w:val="00B44C1E"/>
    <w:rsid w:val="00B461CD"/>
    <w:rsid w:val="00B522C7"/>
    <w:rsid w:val="00B52768"/>
    <w:rsid w:val="00B53FE4"/>
    <w:rsid w:val="00B55EAC"/>
    <w:rsid w:val="00B568CA"/>
    <w:rsid w:val="00B57E9E"/>
    <w:rsid w:val="00B619CF"/>
    <w:rsid w:val="00B661A6"/>
    <w:rsid w:val="00B66499"/>
    <w:rsid w:val="00B67D2B"/>
    <w:rsid w:val="00B70BDE"/>
    <w:rsid w:val="00B728A2"/>
    <w:rsid w:val="00B73009"/>
    <w:rsid w:val="00B747BB"/>
    <w:rsid w:val="00B75E22"/>
    <w:rsid w:val="00B76269"/>
    <w:rsid w:val="00B77023"/>
    <w:rsid w:val="00B77675"/>
    <w:rsid w:val="00B779E3"/>
    <w:rsid w:val="00B8067E"/>
    <w:rsid w:val="00B81A85"/>
    <w:rsid w:val="00B825E6"/>
    <w:rsid w:val="00B82DD4"/>
    <w:rsid w:val="00B8348C"/>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01"/>
    <w:rsid w:val="00BA54AD"/>
    <w:rsid w:val="00BA6469"/>
    <w:rsid w:val="00BA7124"/>
    <w:rsid w:val="00BA73F0"/>
    <w:rsid w:val="00BB0C54"/>
    <w:rsid w:val="00BB2084"/>
    <w:rsid w:val="00BB2F33"/>
    <w:rsid w:val="00BB3145"/>
    <w:rsid w:val="00BB3BF0"/>
    <w:rsid w:val="00BB43DE"/>
    <w:rsid w:val="00BB6889"/>
    <w:rsid w:val="00BB73B0"/>
    <w:rsid w:val="00BB75C4"/>
    <w:rsid w:val="00BB7AD7"/>
    <w:rsid w:val="00BC1955"/>
    <w:rsid w:val="00BC445E"/>
    <w:rsid w:val="00BC7063"/>
    <w:rsid w:val="00BD1022"/>
    <w:rsid w:val="00BD214E"/>
    <w:rsid w:val="00BD2BF2"/>
    <w:rsid w:val="00BD3328"/>
    <w:rsid w:val="00BD4F66"/>
    <w:rsid w:val="00BD5EB2"/>
    <w:rsid w:val="00BD6423"/>
    <w:rsid w:val="00BE013C"/>
    <w:rsid w:val="00BE2408"/>
    <w:rsid w:val="00BE27CE"/>
    <w:rsid w:val="00BE2810"/>
    <w:rsid w:val="00BE4B22"/>
    <w:rsid w:val="00BE51D7"/>
    <w:rsid w:val="00BE5278"/>
    <w:rsid w:val="00BE5AAD"/>
    <w:rsid w:val="00BF038E"/>
    <w:rsid w:val="00BF2944"/>
    <w:rsid w:val="00BF30FF"/>
    <w:rsid w:val="00BF44AC"/>
    <w:rsid w:val="00BF5380"/>
    <w:rsid w:val="00BF620F"/>
    <w:rsid w:val="00C02D53"/>
    <w:rsid w:val="00C038B8"/>
    <w:rsid w:val="00C03DF0"/>
    <w:rsid w:val="00C07B18"/>
    <w:rsid w:val="00C101EC"/>
    <w:rsid w:val="00C13E04"/>
    <w:rsid w:val="00C17588"/>
    <w:rsid w:val="00C2116F"/>
    <w:rsid w:val="00C21F38"/>
    <w:rsid w:val="00C2244E"/>
    <w:rsid w:val="00C22BB2"/>
    <w:rsid w:val="00C230CD"/>
    <w:rsid w:val="00C243B9"/>
    <w:rsid w:val="00C258A2"/>
    <w:rsid w:val="00C25E3D"/>
    <w:rsid w:val="00C26A37"/>
    <w:rsid w:val="00C27CB4"/>
    <w:rsid w:val="00C31E2D"/>
    <w:rsid w:val="00C33871"/>
    <w:rsid w:val="00C340F7"/>
    <w:rsid w:val="00C343FF"/>
    <w:rsid w:val="00C34A47"/>
    <w:rsid w:val="00C34E67"/>
    <w:rsid w:val="00C36F84"/>
    <w:rsid w:val="00C4047E"/>
    <w:rsid w:val="00C41CF4"/>
    <w:rsid w:val="00C449E2"/>
    <w:rsid w:val="00C45400"/>
    <w:rsid w:val="00C4659F"/>
    <w:rsid w:val="00C47452"/>
    <w:rsid w:val="00C47497"/>
    <w:rsid w:val="00C4749B"/>
    <w:rsid w:val="00C477A7"/>
    <w:rsid w:val="00C538AD"/>
    <w:rsid w:val="00C53E62"/>
    <w:rsid w:val="00C56BD2"/>
    <w:rsid w:val="00C5725B"/>
    <w:rsid w:val="00C60F56"/>
    <w:rsid w:val="00C6127B"/>
    <w:rsid w:val="00C618F2"/>
    <w:rsid w:val="00C63218"/>
    <w:rsid w:val="00C65A80"/>
    <w:rsid w:val="00C66390"/>
    <w:rsid w:val="00C67A21"/>
    <w:rsid w:val="00C67ED9"/>
    <w:rsid w:val="00C727C1"/>
    <w:rsid w:val="00C73AA9"/>
    <w:rsid w:val="00C76028"/>
    <w:rsid w:val="00C76BC2"/>
    <w:rsid w:val="00C77F36"/>
    <w:rsid w:val="00C80B4E"/>
    <w:rsid w:val="00C83CF4"/>
    <w:rsid w:val="00C84198"/>
    <w:rsid w:val="00C85C4B"/>
    <w:rsid w:val="00C92521"/>
    <w:rsid w:val="00C92DE1"/>
    <w:rsid w:val="00C94645"/>
    <w:rsid w:val="00C94990"/>
    <w:rsid w:val="00C9507F"/>
    <w:rsid w:val="00C95231"/>
    <w:rsid w:val="00C957E4"/>
    <w:rsid w:val="00C96575"/>
    <w:rsid w:val="00CA0A9E"/>
    <w:rsid w:val="00CA154B"/>
    <w:rsid w:val="00CA23F7"/>
    <w:rsid w:val="00CA24F0"/>
    <w:rsid w:val="00CA3424"/>
    <w:rsid w:val="00CA3FDB"/>
    <w:rsid w:val="00CA5560"/>
    <w:rsid w:val="00CA5EFE"/>
    <w:rsid w:val="00CA6702"/>
    <w:rsid w:val="00CA6D05"/>
    <w:rsid w:val="00CA7A71"/>
    <w:rsid w:val="00CB2C4C"/>
    <w:rsid w:val="00CB36A8"/>
    <w:rsid w:val="00CB3D82"/>
    <w:rsid w:val="00CB7444"/>
    <w:rsid w:val="00CC27F7"/>
    <w:rsid w:val="00CC2FEB"/>
    <w:rsid w:val="00CC464A"/>
    <w:rsid w:val="00CD1041"/>
    <w:rsid w:val="00CD21C0"/>
    <w:rsid w:val="00CD43C8"/>
    <w:rsid w:val="00CD4E25"/>
    <w:rsid w:val="00CD62BE"/>
    <w:rsid w:val="00CD6F54"/>
    <w:rsid w:val="00CD6FE7"/>
    <w:rsid w:val="00CE0C2A"/>
    <w:rsid w:val="00CE4E73"/>
    <w:rsid w:val="00CF0165"/>
    <w:rsid w:val="00CF0A25"/>
    <w:rsid w:val="00CF200E"/>
    <w:rsid w:val="00CF32DF"/>
    <w:rsid w:val="00CF417E"/>
    <w:rsid w:val="00D02BD1"/>
    <w:rsid w:val="00D0324D"/>
    <w:rsid w:val="00D05331"/>
    <w:rsid w:val="00D060AF"/>
    <w:rsid w:val="00D07935"/>
    <w:rsid w:val="00D133EA"/>
    <w:rsid w:val="00D14632"/>
    <w:rsid w:val="00D1474C"/>
    <w:rsid w:val="00D16897"/>
    <w:rsid w:val="00D16DC7"/>
    <w:rsid w:val="00D1725D"/>
    <w:rsid w:val="00D201C5"/>
    <w:rsid w:val="00D20A6A"/>
    <w:rsid w:val="00D21568"/>
    <w:rsid w:val="00D2180D"/>
    <w:rsid w:val="00D22542"/>
    <w:rsid w:val="00D26319"/>
    <w:rsid w:val="00D26ED3"/>
    <w:rsid w:val="00D321EF"/>
    <w:rsid w:val="00D345B5"/>
    <w:rsid w:val="00D359B8"/>
    <w:rsid w:val="00D36156"/>
    <w:rsid w:val="00D3662D"/>
    <w:rsid w:val="00D36FBF"/>
    <w:rsid w:val="00D40952"/>
    <w:rsid w:val="00D40F99"/>
    <w:rsid w:val="00D44506"/>
    <w:rsid w:val="00D45051"/>
    <w:rsid w:val="00D46ADE"/>
    <w:rsid w:val="00D4718E"/>
    <w:rsid w:val="00D477D6"/>
    <w:rsid w:val="00D47F28"/>
    <w:rsid w:val="00D519E4"/>
    <w:rsid w:val="00D52184"/>
    <w:rsid w:val="00D52930"/>
    <w:rsid w:val="00D52A05"/>
    <w:rsid w:val="00D5776D"/>
    <w:rsid w:val="00D670A9"/>
    <w:rsid w:val="00D70952"/>
    <w:rsid w:val="00D70D37"/>
    <w:rsid w:val="00D713B6"/>
    <w:rsid w:val="00D715BE"/>
    <w:rsid w:val="00D72251"/>
    <w:rsid w:val="00D74CC8"/>
    <w:rsid w:val="00D76F13"/>
    <w:rsid w:val="00D8002F"/>
    <w:rsid w:val="00D80179"/>
    <w:rsid w:val="00D8102E"/>
    <w:rsid w:val="00D82310"/>
    <w:rsid w:val="00D829D2"/>
    <w:rsid w:val="00D82F56"/>
    <w:rsid w:val="00D833A7"/>
    <w:rsid w:val="00D83D50"/>
    <w:rsid w:val="00D8683A"/>
    <w:rsid w:val="00D8686D"/>
    <w:rsid w:val="00D92DE1"/>
    <w:rsid w:val="00D94BE5"/>
    <w:rsid w:val="00D961EE"/>
    <w:rsid w:val="00D96231"/>
    <w:rsid w:val="00D9725D"/>
    <w:rsid w:val="00DA1FF4"/>
    <w:rsid w:val="00DA35F0"/>
    <w:rsid w:val="00DA7689"/>
    <w:rsid w:val="00DB13B4"/>
    <w:rsid w:val="00DB332D"/>
    <w:rsid w:val="00DB3DDF"/>
    <w:rsid w:val="00DB5C56"/>
    <w:rsid w:val="00DB64E5"/>
    <w:rsid w:val="00DB75CC"/>
    <w:rsid w:val="00DC07D7"/>
    <w:rsid w:val="00DC1F5A"/>
    <w:rsid w:val="00DC26FB"/>
    <w:rsid w:val="00DC4BAC"/>
    <w:rsid w:val="00DC66E1"/>
    <w:rsid w:val="00DD09DE"/>
    <w:rsid w:val="00DD18D5"/>
    <w:rsid w:val="00DD551E"/>
    <w:rsid w:val="00DD5A8F"/>
    <w:rsid w:val="00DD7802"/>
    <w:rsid w:val="00DD7D99"/>
    <w:rsid w:val="00DE09FD"/>
    <w:rsid w:val="00DE384A"/>
    <w:rsid w:val="00DE4425"/>
    <w:rsid w:val="00DE4581"/>
    <w:rsid w:val="00DE55C8"/>
    <w:rsid w:val="00DE5AB7"/>
    <w:rsid w:val="00DE6AF3"/>
    <w:rsid w:val="00DE7775"/>
    <w:rsid w:val="00DF13DA"/>
    <w:rsid w:val="00DF2241"/>
    <w:rsid w:val="00DF2443"/>
    <w:rsid w:val="00DF2C45"/>
    <w:rsid w:val="00DF2C92"/>
    <w:rsid w:val="00DF3999"/>
    <w:rsid w:val="00DF3D27"/>
    <w:rsid w:val="00DF3FAE"/>
    <w:rsid w:val="00DF55CB"/>
    <w:rsid w:val="00DF60E9"/>
    <w:rsid w:val="00E00370"/>
    <w:rsid w:val="00E017F7"/>
    <w:rsid w:val="00E02D48"/>
    <w:rsid w:val="00E0349E"/>
    <w:rsid w:val="00E0675D"/>
    <w:rsid w:val="00E0706D"/>
    <w:rsid w:val="00E11F90"/>
    <w:rsid w:val="00E12838"/>
    <w:rsid w:val="00E1450B"/>
    <w:rsid w:val="00E14EFE"/>
    <w:rsid w:val="00E16064"/>
    <w:rsid w:val="00E16D62"/>
    <w:rsid w:val="00E17522"/>
    <w:rsid w:val="00E20B86"/>
    <w:rsid w:val="00E213A0"/>
    <w:rsid w:val="00E22CA9"/>
    <w:rsid w:val="00E22D85"/>
    <w:rsid w:val="00E23386"/>
    <w:rsid w:val="00E2458D"/>
    <w:rsid w:val="00E24DAB"/>
    <w:rsid w:val="00E24DCF"/>
    <w:rsid w:val="00E25930"/>
    <w:rsid w:val="00E26024"/>
    <w:rsid w:val="00E2686C"/>
    <w:rsid w:val="00E27741"/>
    <w:rsid w:val="00E3080B"/>
    <w:rsid w:val="00E31B94"/>
    <w:rsid w:val="00E32628"/>
    <w:rsid w:val="00E32D5A"/>
    <w:rsid w:val="00E3452F"/>
    <w:rsid w:val="00E34964"/>
    <w:rsid w:val="00E407C4"/>
    <w:rsid w:val="00E40D6F"/>
    <w:rsid w:val="00E4372E"/>
    <w:rsid w:val="00E511AC"/>
    <w:rsid w:val="00E57EEC"/>
    <w:rsid w:val="00E610BB"/>
    <w:rsid w:val="00E61E65"/>
    <w:rsid w:val="00E620B5"/>
    <w:rsid w:val="00E62925"/>
    <w:rsid w:val="00E65BBA"/>
    <w:rsid w:val="00E66897"/>
    <w:rsid w:val="00E70C43"/>
    <w:rsid w:val="00E713DD"/>
    <w:rsid w:val="00E733B9"/>
    <w:rsid w:val="00E73A7E"/>
    <w:rsid w:val="00E73AF2"/>
    <w:rsid w:val="00E73B4A"/>
    <w:rsid w:val="00E766ED"/>
    <w:rsid w:val="00E7782B"/>
    <w:rsid w:val="00E77960"/>
    <w:rsid w:val="00E77BF2"/>
    <w:rsid w:val="00E77E0C"/>
    <w:rsid w:val="00E83B7F"/>
    <w:rsid w:val="00E864BB"/>
    <w:rsid w:val="00E86FD9"/>
    <w:rsid w:val="00E916A5"/>
    <w:rsid w:val="00E94951"/>
    <w:rsid w:val="00E95DF8"/>
    <w:rsid w:val="00E96570"/>
    <w:rsid w:val="00E9685B"/>
    <w:rsid w:val="00E97597"/>
    <w:rsid w:val="00E97D91"/>
    <w:rsid w:val="00EA096E"/>
    <w:rsid w:val="00EA0FF8"/>
    <w:rsid w:val="00EA5B00"/>
    <w:rsid w:val="00EA73E5"/>
    <w:rsid w:val="00EB0133"/>
    <w:rsid w:val="00EB0F1F"/>
    <w:rsid w:val="00EB2478"/>
    <w:rsid w:val="00EB3AF8"/>
    <w:rsid w:val="00EB3D8F"/>
    <w:rsid w:val="00EB777B"/>
    <w:rsid w:val="00EC1E5C"/>
    <w:rsid w:val="00EC1F67"/>
    <w:rsid w:val="00EC2F21"/>
    <w:rsid w:val="00EC34F4"/>
    <w:rsid w:val="00EC367B"/>
    <w:rsid w:val="00EC3BCE"/>
    <w:rsid w:val="00EC40BD"/>
    <w:rsid w:val="00EC4FD3"/>
    <w:rsid w:val="00EC608A"/>
    <w:rsid w:val="00EC63E4"/>
    <w:rsid w:val="00EC6C19"/>
    <w:rsid w:val="00EC6C4A"/>
    <w:rsid w:val="00ED0797"/>
    <w:rsid w:val="00ED07DF"/>
    <w:rsid w:val="00ED52CD"/>
    <w:rsid w:val="00ED5BED"/>
    <w:rsid w:val="00ED7793"/>
    <w:rsid w:val="00ED7E1B"/>
    <w:rsid w:val="00EE42DC"/>
    <w:rsid w:val="00EE5286"/>
    <w:rsid w:val="00EE6F5A"/>
    <w:rsid w:val="00EF0D2A"/>
    <w:rsid w:val="00EF0F09"/>
    <w:rsid w:val="00EF134D"/>
    <w:rsid w:val="00EF489C"/>
    <w:rsid w:val="00F045D0"/>
    <w:rsid w:val="00F07907"/>
    <w:rsid w:val="00F1066A"/>
    <w:rsid w:val="00F125C6"/>
    <w:rsid w:val="00F129DF"/>
    <w:rsid w:val="00F12F6D"/>
    <w:rsid w:val="00F146C3"/>
    <w:rsid w:val="00F155FB"/>
    <w:rsid w:val="00F168C8"/>
    <w:rsid w:val="00F20921"/>
    <w:rsid w:val="00F21A0F"/>
    <w:rsid w:val="00F2774C"/>
    <w:rsid w:val="00F278DB"/>
    <w:rsid w:val="00F27EDA"/>
    <w:rsid w:val="00F333B5"/>
    <w:rsid w:val="00F34F2D"/>
    <w:rsid w:val="00F3570E"/>
    <w:rsid w:val="00F37F5B"/>
    <w:rsid w:val="00F43496"/>
    <w:rsid w:val="00F440BB"/>
    <w:rsid w:val="00F456F4"/>
    <w:rsid w:val="00F472AE"/>
    <w:rsid w:val="00F47BDF"/>
    <w:rsid w:val="00F51A5A"/>
    <w:rsid w:val="00F547FF"/>
    <w:rsid w:val="00F605DC"/>
    <w:rsid w:val="00F64584"/>
    <w:rsid w:val="00F65B0E"/>
    <w:rsid w:val="00F65F49"/>
    <w:rsid w:val="00F666D3"/>
    <w:rsid w:val="00F73101"/>
    <w:rsid w:val="00F7328A"/>
    <w:rsid w:val="00F74E2F"/>
    <w:rsid w:val="00F7679D"/>
    <w:rsid w:val="00F76DB7"/>
    <w:rsid w:val="00F778AE"/>
    <w:rsid w:val="00F77D82"/>
    <w:rsid w:val="00F81A5A"/>
    <w:rsid w:val="00F84B91"/>
    <w:rsid w:val="00F85838"/>
    <w:rsid w:val="00F87DD8"/>
    <w:rsid w:val="00F907EF"/>
    <w:rsid w:val="00F92C87"/>
    <w:rsid w:val="00F93911"/>
    <w:rsid w:val="00F95BFC"/>
    <w:rsid w:val="00F96945"/>
    <w:rsid w:val="00F97271"/>
    <w:rsid w:val="00FA207E"/>
    <w:rsid w:val="00FA2141"/>
    <w:rsid w:val="00FA2728"/>
    <w:rsid w:val="00FA42BF"/>
    <w:rsid w:val="00FA4DE8"/>
    <w:rsid w:val="00FA51E5"/>
    <w:rsid w:val="00FA68A4"/>
    <w:rsid w:val="00FB2854"/>
    <w:rsid w:val="00FB55CA"/>
    <w:rsid w:val="00FC01DA"/>
    <w:rsid w:val="00FC0BD8"/>
    <w:rsid w:val="00FC2BF4"/>
    <w:rsid w:val="00FC39DE"/>
    <w:rsid w:val="00FC41A1"/>
    <w:rsid w:val="00FC4C62"/>
    <w:rsid w:val="00FC5D41"/>
    <w:rsid w:val="00FC665E"/>
    <w:rsid w:val="00FC6E01"/>
    <w:rsid w:val="00FC7852"/>
    <w:rsid w:val="00FD183B"/>
    <w:rsid w:val="00FD3918"/>
    <w:rsid w:val="00FD71AE"/>
    <w:rsid w:val="00FD73E4"/>
    <w:rsid w:val="00FE12EA"/>
    <w:rsid w:val="00FE2BCD"/>
    <w:rsid w:val="00FE3273"/>
    <w:rsid w:val="00FE38BA"/>
    <w:rsid w:val="00FE4826"/>
    <w:rsid w:val="00FE5DB5"/>
    <w:rsid w:val="00FE75FA"/>
    <w:rsid w:val="00FF0201"/>
    <w:rsid w:val="00FF161C"/>
    <w:rsid w:val="00FF50B0"/>
    <w:rsid w:val="00FF6574"/>
    <w:rsid w:val="00FF739D"/>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2B70"/>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unhideWhenUsed/>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aliases w:val="TableGrid"/>
    <w:basedOn w:val="a1"/>
    <w:uiPriority w:val="5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qFormat/>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 w:type="paragraph" w:customStyle="1" w:styleId="11">
    <w:name w:val="清單段落1"/>
    <w:basedOn w:val="a"/>
    <w:uiPriority w:val="34"/>
    <w:qFormat/>
    <w:rsid w:val="004B1278"/>
    <w:pPr>
      <w:ind w:leftChars="400" w:left="840"/>
    </w:pPr>
    <w:rPr>
      <w:rFonts w:eastAsiaTheme="minorEastAsia" w:cs="Times"/>
      <w:sz w:val="22"/>
      <w:lang w:val="en-US" w:eastAsia="zh-CN"/>
    </w:rPr>
  </w:style>
  <w:style w:type="paragraph" w:customStyle="1" w:styleId="ListParagraph9">
    <w:name w:val="List Paragraph9"/>
    <w:basedOn w:val="a"/>
    <w:link w:val="af0"/>
    <w:uiPriority w:val="34"/>
    <w:qFormat/>
    <w:rsid w:val="00DD5A8F"/>
    <w:pPr>
      <w:ind w:leftChars="400" w:left="840"/>
    </w:pPr>
    <w:rPr>
      <w:lang w:eastAsia="zh-CN"/>
    </w:rPr>
  </w:style>
  <w:style w:type="character" w:customStyle="1" w:styleId="af0">
    <w:name w:val="列出段落 字符"/>
    <w:link w:val="ListParagraph9"/>
    <w:uiPriority w:val="34"/>
    <w:qFormat/>
    <w:rsid w:val="00DD5A8F"/>
    <w:rPr>
      <w:rFonts w:ascii="Times" w:eastAsia="Batang" w:hAnsi="Times" w:cs="Times New Roman"/>
      <w:sz w:val="20"/>
      <w:szCs w:val="24"/>
      <w:lang w:val="en-GB" w:eastAsia="zh-CN"/>
    </w:rPr>
  </w:style>
  <w:style w:type="character" w:styleId="af1">
    <w:name w:val="Unresolved Mention"/>
    <w:basedOn w:val="a0"/>
    <w:uiPriority w:val="99"/>
    <w:semiHidden/>
    <w:unhideWhenUsed/>
    <w:rsid w:val="00C538AD"/>
    <w:rPr>
      <w:color w:val="605E5C"/>
      <w:shd w:val="clear" w:color="auto" w:fill="E1DFDD"/>
    </w:rPr>
  </w:style>
  <w:style w:type="paragraph" w:styleId="af2">
    <w:name w:val="annotation text"/>
    <w:basedOn w:val="a"/>
    <w:link w:val="af3"/>
    <w:uiPriority w:val="99"/>
    <w:unhideWhenUsed/>
    <w:rsid w:val="0024604A"/>
    <w:rPr>
      <w:szCs w:val="20"/>
    </w:rPr>
  </w:style>
  <w:style w:type="character" w:customStyle="1" w:styleId="af3">
    <w:name w:val="註解文字 字元"/>
    <w:basedOn w:val="a0"/>
    <w:link w:val="af2"/>
    <w:uiPriority w:val="99"/>
    <w:rsid w:val="0024604A"/>
    <w:rPr>
      <w:rFonts w:ascii="Times" w:eastAsia="Batang" w:hAnsi="Times" w:cs="Times New Roman"/>
      <w:sz w:val="20"/>
      <w:szCs w:val="20"/>
      <w:lang w:val="en-GB" w:eastAsia="en-US"/>
    </w:rPr>
  </w:style>
  <w:style w:type="paragraph" w:styleId="af4">
    <w:name w:val="annotation subject"/>
    <w:basedOn w:val="af2"/>
    <w:next w:val="af2"/>
    <w:link w:val="af5"/>
    <w:uiPriority w:val="99"/>
    <w:semiHidden/>
    <w:unhideWhenUsed/>
    <w:rsid w:val="0024604A"/>
    <w:rPr>
      <w:b/>
      <w:bCs/>
    </w:rPr>
  </w:style>
  <w:style w:type="character" w:customStyle="1" w:styleId="af5">
    <w:name w:val="註解主旨 字元"/>
    <w:basedOn w:val="af3"/>
    <w:link w:val="af4"/>
    <w:uiPriority w:val="99"/>
    <w:semiHidden/>
    <w:rsid w:val="0024604A"/>
    <w:rPr>
      <w:rFonts w:ascii="Times" w:eastAsia="Batang" w:hAnsi="Times" w:cs="Times New Roman"/>
      <w:b/>
      <w:bCs/>
      <w:sz w:val="20"/>
      <w:szCs w:val="20"/>
      <w:lang w:val="en-GB" w:eastAsia="en-US"/>
    </w:rPr>
  </w:style>
  <w:style w:type="paragraph" w:styleId="af6">
    <w:name w:val="Revision"/>
    <w:hidden/>
    <w:uiPriority w:val="99"/>
    <w:semiHidden/>
    <w:rsid w:val="00F12F6D"/>
    <w:pPr>
      <w:spacing w:after="0" w:line="240" w:lineRule="auto"/>
    </w:pPr>
    <w:rPr>
      <w:rFonts w:ascii="Times" w:eastAsia="Batang" w:hAnsi="Times" w:cs="Times New Roman"/>
      <w:sz w:val="20"/>
      <w:szCs w:val="24"/>
      <w:lang w:val="en-GB" w:eastAsia="en-US"/>
    </w:rPr>
  </w:style>
  <w:style w:type="paragraph" w:styleId="af7">
    <w:name w:val="caption"/>
    <w:basedOn w:val="a"/>
    <w:next w:val="a"/>
    <w:uiPriority w:val="35"/>
    <w:semiHidden/>
    <w:unhideWhenUsed/>
    <w:qFormat/>
    <w:rsid w:val="0092684C"/>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8493">
      <w:bodyDiv w:val="1"/>
      <w:marLeft w:val="0"/>
      <w:marRight w:val="0"/>
      <w:marTop w:val="0"/>
      <w:marBottom w:val="0"/>
      <w:divBdr>
        <w:top w:val="none" w:sz="0" w:space="0" w:color="auto"/>
        <w:left w:val="none" w:sz="0" w:space="0" w:color="auto"/>
        <w:bottom w:val="none" w:sz="0" w:space="0" w:color="auto"/>
        <w:right w:val="none" w:sz="0" w:space="0" w:color="auto"/>
      </w:divBdr>
    </w:div>
    <w:div w:id="16010335">
      <w:bodyDiv w:val="1"/>
      <w:marLeft w:val="0"/>
      <w:marRight w:val="0"/>
      <w:marTop w:val="0"/>
      <w:marBottom w:val="0"/>
      <w:divBdr>
        <w:top w:val="none" w:sz="0" w:space="0" w:color="auto"/>
        <w:left w:val="none" w:sz="0" w:space="0" w:color="auto"/>
        <w:bottom w:val="none" w:sz="0" w:space="0" w:color="auto"/>
        <w:right w:val="none" w:sz="0" w:space="0" w:color="auto"/>
      </w:divBdr>
      <w:divsChild>
        <w:div w:id="355423845">
          <w:marLeft w:val="432"/>
          <w:marRight w:val="0"/>
          <w:marTop w:val="240"/>
          <w:marBottom w:val="0"/>
          <w:divBdr>
            <w:top w:val="none" w:sz="0" w:space="0" w:color="auto"/>
            <w:left w:val="none" w:sz="0" w:space="0" w:color="auto"/>
            <w:bottom w:val="none" w:sz="0" w:space="0" w:color="auto"/>
            <w:right w:val="none" w:sz="0" w:space="0" w:color="auto"/>
          </w:divBdr>
        </w:div>
        <w:div w:id="1146429884">
          <w:marLeft w:val="1267"/>
          <w:marRight w:val="0"/>
          <w:marTop w:val="180"/>
          <w:marBottom w:val="0"/>
          <w:divBdr>
            <w:top w:val="none" w:sz="0" w:space="0" w:color="auto"/>
            <w:left w:val="none" w:sz="0" w:space="0" w:color="auto"/>
            <w:bottom w:val="none" w:sz="0" w:space="0" w:color="auto"/>
            <w:right w:val="none" w:sz="0" w:space="0" w:color="auto"/>
          </w:divBdr>
        </w:div>
        <w:div w:id="490370069">
          <w:marLeft w:val="432"/>
          <w:marRight w:val="0"/>
          <w:marTop w:val="240"/>
          <w:marBottom w:val="0"/>
          <w:divBdr>
            <w:top w:val="none" w:sz="0" w:space="0" w:color="auto"/>
            <w:left w:val="none" w:sz="0" w:space="0" w:color="auto"/>
            <w:bottom w:val="none" w:sz="0" w:space="0" w:color="auto"/>
            <w:right w:val="none" w:sz="0" w:space="0" w:color="auto"/>
          </w:divBdr>
        </w:div>
      </w:divsChild>
    </w:div>
    <w:div w:id="16539820">
      <w:bodyDiv w:val="1"/>
      <w:marLeft w:val="0"/>
      <w:marRight w:val="0"/>
      <w:marTop w:val="0"/>
      <w:marBottom w:val="0"/>
      <w:divBdr>
        <w:top w:val="none" w:sz="0" w:space="0" w:color="auto"/>
        <w:left w:val="none" w:sz="0" w:space="0" w:color="auto"/>
        <w:bottom w:val="none" w:sz="0" w:space="0" w:color="auto"/>
        <w:right w:val="none" w:sz="0" w:space="0" w:color="auto"/>
      </w:divBdr>
    </w:div>
    <w:div w:id="19207699">
      <w:bodyDiv w:val="1"/>
      <w:marLeft w:val="0"/>
      <w:marRight w:val="0"/>
      <w:marTop w:val="0"/>
      <w:marBottom w:val="0"/>
      <w:divBdr>
        <w:top w:val="none" w:sz="0" w:space="0" w:color="auto"/>
        <w:left w:val="none" w:sz="0" w:space="0" w:color="auto"/>
        <w:bottom w:val="none" w:sz="0" w:space="0" w:color="auto"/>
        <w:right w:val="none" w:sz="0" w:space="0" w:color="auto"/>
      </w:divBdr>
    </w:div>
    <w:div w:id="26223878">
      <w:bodyDiv w:val="1"/>
      <w:marLeft w:val="0"/>
      <w:marRight w:val="0"/>
      <w:marTop w:val="0"/>
      <w:marBottom w:val="0"/>
      <w:divBdr>
        <w:top w:val="none" w:sz="0" w:space="0" w:color="auto"/>
        <w:left w:val="none" w:sz="0" w:space="0" w:color="auto"/>
        <w:bottom w:val="none" w:sz="0" w:space="0" w:color="auto"/>
        <w:right w:val="none" w:sz="0" w:space="0" w:color="auto"/>
      </w:divBdr>
    </w:div>
    <w:div w:id="39020767">
      <w:bodyDiv w:val="1"/>
      <w:marLeft w:val="0"/>
      <w:marRight w:val="0"/>
      <w:marTop w:val="0"/>
      <w:marBottom w:val="0"/>
      <w:divBdr>
        <w:top w:val="none" w:sz="0" w:space="0" w:color="auto"/>
        <w:left w:val="none" w:sz="0" w:space="0" w:color="auto"/>
        <w:bottom w:val="none" w:sz="0" w:space="0" w:color="auto"/>
        <w:right w:val="none" w:sz="0" w:space="0" w:color="auto"/>
      </w:divBdr>
    </w:div>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4592489">
      <w:bodyDiv w:val="1"/>
      <w:marLeft w:val="0"/>
      <w:marRight w:val="0"/>
      <w:marTop w:val="0"/>
      <w:marBottom w:val="0"/>
      <w:divBdr>
        <w:top w:val="none" w:sz="0" w:space="0" w:color="auto"/>
        <w:left w:val="none" w:sz="0" w:space="0" w:color="auto"/>
        <w:bottom w:val="none" w:sz="0" w:space="0" w:color="auto"/>
        <w:right w:val="none" w:sz="0" w:space="0" w:color="auto"/>
      </w:divBdr>
      <w:divsChild>
        <w:div w:id="296230772">
          <w:marLeft w:val="432"/>
          <w:marRight w:val="0"/>
          <w:marTop w:val="240"/>
          <w:marBottom w:val="0"/>
          <w:divBdr>
            <w:top w:val="none" w:sz="0" w:space="0" w:color="auto"/>
            <w:left w:val="none" w:sz="0" w:space="0" w:color="auto"/>
            <w:bottom w:val="none" w:sz="0" w:space="0" w:color="auto"/>
            <w:right w:val="none" w:sz="0" w:space="0" w:color="auto"/>
          </w:divBdr>
        </w:div>
        <w:div w:id="1600605341">
          <w:marLeft w:val="1267"/>
          <w:marRight w:val="0"/>
          <w:marTop w:val="180"/>
          <w:marBottom w:val="0"/>
          <w:divBdr>
            <w:top w:val="none" w:sz="0" w:space="0" w:color="auto"/>
            <w:left w:val="none" w:sz="0" w:space="0" w:color="auto"/>
            <w:bottom w:val="none" w:sz="0" w:space="0" w:color="auto"/>
            <w:right w:val="none" w:sz="0" w:space="0" w:color="auto"/>
          </w:divBdr>
        </w:div>
        <w:div w:id="9990931">
          <w:marLeft w:val="432"/>
          <w:marRight w:val="0"/>
          <w:marTop w:val="240"/>
          <w:marBottom w:val="0"/>
          <w:divBdr>
            <w:top w:val="none" w:sz="0" w:space="0" w:color="auto"/>
            <w:left w:val="none" w:sz="0" w:space="0" w:color="auto"/>
            <w:bottom w:val="none" w:sz="0" w:space="0" w:color="auto"/>
            <w:right w:val="none" w:sz="0" w:space="0" w:color="auto"/>
          </w:divBdr>
        </w:div>
        <w:div w:id="1067385309">
          <w:marLeft w:val="1267"/>
          <w:marRight w:val="0"/>
          <w:marTop w:val="180"/>
          <w:marBottom w:val="0"/>
          <w:divBdr>
            <w:top w:val="none" w:sz="0" w:space="0" w:color="auto"/>
            <w:left w:val="none" w:sz="0" w:space="0" w:color="auto"/>
            <w:bottom w:val="none" w:sz="0" w:space="0" w:color="auto"/>
            <w:right w:val="none" w:sz="0" w:space="0" w:color="auto"/>
          </w:divBdr>
        </w:div>
      </w:divsChild>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82796962">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96487284">
      <w:bodyDiv w:val="1"/>
      <w:marLeft w:val="0"/>
      <w:marRight w:val="0"/>
      <w:marTop w:val="0"/>
      <w:marBottom w:val="0"/>
      <w:divBdr>
        <w:top w:val="none" w:sz="0" w:space="0" w:color="auto"/>
        <w:left w:val="none" w:sz="0" w:space="0" w:color="auto"/>
        <w:bottom w:val="none" w:sz="0" w:space="0" w:color="auto"/>
        <w:right w:val="none" w:sz="0" w:space="0" w:color="auto"/>
      </w:divBdr>
    </w:div>
    <w:div w:id="98764240">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35029859">
      <w:bodyDiv w:val="1"/>
      <w:marLeft w:val="0"/>
      <w:marRight w:val="0"/>
      <w:marTop w:val="0"/>
      <w:marBottom w:val="0"/>
      <w:divBdr>
        <w:top w:val="none" w:sz="0" w:space="0" w:color="auto"/>
        <w:left w:val="none" w:sz="0" w:space="0" w:color="auto"/>
        <w:bottom w:val="none" w:sz="0" w:space="0" w:color="auto"/>
        <w:right w:val="none" w:sz="0" w:space="0" w:color="auto"/>
      </w:divBdr>
    </w:div>
    <w:div w:id="143007902">
      <w:bodyDiv w:val="1"/>
      <w:marLeft w:val="0"/>
      <w:marRight w:val="0"/>
      <w:marTop w:val="0"/>
      <w:marBottom w:val="0"/>
      <w:divBdr>
        <w:top w:val="none" w:sz="0" w:space="0" w:color="auto"/>
        <w:left w:val="none" w:sz="0" w:space="0" w:color="auto"/>
        <w:bottom w:val="none" w:sz="0" w:space="0" w:color="auto"/>
        <w:right w:val="none" w:sz="0" w:space="0" w:color="auto"/>
      </w:divBdr>
    </w:div>
    <w:div w:id="146750462">
      <w:bodyDiv w:val="1"/>
      <w:marLeft w:val="0"/>
      <w:marRight w:val="0"/>
      <w:marTop w:val="0"/>
      <w:marBottom w:val="0"/>
      <w:divBdr>
        <w:top w:val="none" w:sz="0" w:space="0" w:color="auto"/>
        <w:left w:val="none" w:sz="0" w:space="0" w:color="auto"/>
        <w:bottom w:val="none" w:sz="0" w:space="0" w:color="auto"/>
        <w:right w:val="none" w:sz="0" w:space="0" w:color="auto"/>
      </w:divBdr>
    </w:div>
    <w:div w:id="154345861">
      <w:bodyDiv w:val="1"/>
      <w:marLeft w:val="0"/>
      <w:marRight w:val="0"/>
      <w:marTop w:val="0"/>
      <w:marBottom w:val="0"/>
      <w:divBdr>
        <w:top w:val="none" w:sz="0" w:space="0" w:color="auto"/>
        <w:left w:val="none" w:sz="0" w:space="0" w:color="auto"/>
        <w:bottom w:val="none" w:sz="0" w:space="0" w:color="auto"/>
        <w:right w:val="none" w:sz="0" w:space="0" w:color="auto"/>
      </w:divBdr>
    </w:div>
    <w:div w:id="154497312">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92504343">
      <w:bodyDiv w:val="1"/>
      <w:marLeft w:val="0"/>
      <w:marRight w:val="0"/>
      <w:marTop w:val="0"/>
      <w:marBottom w:val="0"/>
      <w:divBdr>
        <w:top w:val="none" w:sz="0" w:space="0" w:color="auto"/>
        <w:left w:val="none" w:sz="0" w:space="0" w:color="auto"/>
        <w:bottom w:val="none" w:sz="0" w:space="0" w:color="auto"/>
        <w:right w:val="none" w:sz="0" w:space="0" w:color="auto"/>
      </w:divBdr>
    </w:div>
    <w:div w:id="192887191">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28656159">
      <w:bodyDiv w:val="1"/>
      <w:marLeft w:val="0"/>
      <w:marRight w:val="0"/>
      <w:marTop w:val="0"/>
      <w:marBottom w:val="0"/>
      <w:divBdr>
        <w:top w:val="none" w:sz="0" w:space="0" w:color="auto"/>
        <w:left w:val="none" w:sz="0" w:space="0" w:color="auto"/>
        <w:bottom w:val="none" w:sz="0" w:space="0" w:color="auto"/>
        <w:right w:val="none" w:sz="0" w:space="0" w:color="auto"/>
      </w:divBdr>
    </w:div>
    <w:div w:id="229735907">
      <w:bodyDiv w:val="1"/>
      <w:marLeft w:val="0"/>
      <w:marRight w:val="0"/>
      <w:marTop w:val="0"/>
      <w:marBottom w:val="0"/>
      <w:divBdr>
        <w:top w:val="none" w:sz="0" w:space="0" w:color="auto"/>
        <w:left w:val="none" w:sz="0" w:space="0" w:color="auto"/>
        <w:bottom w:val="none" w:sz="0" w:space="0" w:color="auto"/>
        <w:right w:val="none" w:sz="0" w:space="0" w:color="auto"/>
      </w:divBdr>
    </w:div>
    <w:div w:id="230389455">
      <w:bodyDiv w:val="1"/>
      <w:marLeft w:val="0"/>
      <w:marRight w:val="0"/>
      <w:marTop w:val="0"/>
      <w:marBottom w:val="0"/>
      <w:divBdr>
        <w:top w:val="none" w:sz="0" w:space="0" w:color="auto"/>
        <w:left w:val="none" w:sz="0" w:space="0" w:color="auto"/>
        <w:bottom w:val="none" w:sz="0" w:space="0" w:color="auto"/>
        <w:right w:val="none" w:sz="0" w:space="0" w:color="auto"/>
      </w:divBdr>
    </w:div>
    <w:div w:id="231238809">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1740886">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58485831">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72592567">
      <w:bodyDiv w:val="1"/>
      <w:marLeft w:val="0"/>
      <w:marRight w:val="0"/>
      <w:marTop w:val="0"/>
      <w:marBottom w:val="0"/>
      <w:divBdr>
        <w:top w:val="none" w:sz="0" w:space="0" w:color="auto"/>
        <w:left w:val="none" w:sz="0" w:space="0" w:color="auto"/>
        <w:bottom w:val="none" w:sz="0" w:space="0" w:color="auto"/>
        <w:right w:val="none" w:sz="0" w:space="0" w:color="auto"/>
      </w:divBdr>
    </w:div>
    <w:div w:id="273833525">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282224848">
      <w:bodyDiv w:val="1"/>
      <w:marLeft w:val="0"/>
      <w:marRight w:val="0"/>
      <w:marTop w:val="0"/>
      <w:marBottom w:val="0"/>
      <w:divBdr>
        <w:top w:val="none" w:sz="0" w:space="0" w:color="auto"/>
        <w:left w:val="none" w:sz="0" w:space="0" w:color="auto"/>
        <w:bottom w:val="none" w:sz="0" w:space="0" w:color="auto"/>
        <w:right w:val="none" w:sz="0" w:space="0" w:color="auto"/>
      </w:divBdr>
    </w:div>
    <w:div w:id="302735158">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25130641">
      <w:bodyDiv w:val="1"/>
      <w:marLeft w:val="0"/>
      <w:marRight w:val="0"/>
      <w:marTop w:val="0"/>
      <w:marBottom w:val="0"/>
      <w:divBdr>
        <w:top w:val="none" w:sz="0" w:space="0" w:color="auto"/>
        <w:left w:val="none" w:sz="0" w:space="0" w:color="auto"/>
        <w:bottom w:val="none" w:sz="0" w:space="0" w:color="auto"/>
        <w:right w:val="none" w:sz="0" w:space="0" w:color="auto"/>
      </w:divBdr>
    </w:div>
    <w:div w:id="341278665">
      <w:bodyDiv w:val="1"/>
      <w:marLeft w:val="0"/>
      <w:marRight w:val="0"/>
      <w:marTop w:val="0"/>
      <w:marBottom w:val="0"/>
      <w:divBdr>
        <w:top w:val="none" w:sz="0" w:space="0" w:color="auto"/>
        <w:left w:val="none" w:sz="0" w:space="0" w:color="auto"/>
        <w:bottom w:val="none" w:sz="0" w:space="0" w:color="auto"/>
        <w:right w:val="none" w:sz="0" w:space="0" w:color="auto"/>
      </w:divBdr>
    </w:div>
    <w:div w:id="345985920">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55429284">
      <w:bodyDiv w:val="1"/>
      <w:marLeft w:val="0"/>
      <w:marRight w:val="0"/>
      <w:marTop w:val="0"/>
      <w:marBottom w:val="0"/>
      <w:divBdr>
        <w:top w:val="none" w:sz="0" w:space="0" w:color="auto"/>
        <w:left w:val="none" w:sz="0" w:space="0" w:color="auto"/>
        <w:bottom w:val="none" w:sz="0" w:space="0" w:color="auto"/>
        <w:right w:val="none" w:sz="0" w:space="0" w:color="auto"/>
      </w:divBdr>
      <w:divsChild>
        <w:div w:id="280188138">
          <w:marLeft w:val="432"/>
          <w:marRight w:val="0"/>
          <w:marTop w:val="240"/>
          <w:marBottom w:val="0"/>
          <w:divBdr>
            <w:top w:val="none" w:sz="0" w:space="0" w:color="auto"/>
            <w:left w:val="none" w:sz="0" w:space="0" w:color="auto"/>
            <w:bottom w:val="none" w:sz="0" w:space="0" w:color="auto"/>
            <w:right w:val="none" w:sz="0" w:space="0" w:color="auto"/>
          </w:divBdr>
        </w:div>
        <w:div w:id="38366313">
          <w:marLeft w:val="432"/>
          <w:marRight w:val="0"/>
          <w:marTop w:val="240"/>
          <w:marBottom w:val="0"/>
          <w:divBdr>
            <w:top w:val="none" w:sz="0" w:space="0" w:color="auto"/>
            <w:left w:val="none" w:sz="0" w:space="0" w:color="auto"/>
            <w:bottom w:val="none" w:sz="0" w:space="0" w:color="auto"/>
            <w:right w:val="none" w:sz="0" w:space="0" w:color="auto"/>
          </w:divBdr>
        </w:div>
      </w:divsChild>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7049472">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398133156">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27624167">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44885716">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0609714">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496113982">
      <w:bodyDiv w:val="1"/>
      <w:marLeft w:val="0"/>
      <w:marRight w:val="0"/>
      <w:marTop w:val="0"/>
      <w:marBottom w:val="0"/>
      <w:divBdr>
        <w:top w:val="none" w:sz="0" w:space="0" w:color="auto"/>
        <w:left w:val="none" w:sz="0" w:space="0" w:color="auto"/>
        <w:bottom w:val="none" w:sz="0" w:space="0" w:color="auto"/>
        <w:right w:val="none" w:sz="0" w:space="0" w:color="auto"/>
      </w:divBdr>
    </w:div>
    <w:div w:id="502672162">
      <w:bodyDiv w:val="1"/>
      <w:marLeft w:val="0"/>
      <w:marRight w:val="0"/>
      <w:marTop w:val="0"/>
      <w:marBottom w:val="0"/>
      <w:divBdr>
        <w:top w:val="none" w:sz="0" w:space="0" w:color="auto"/>
        <w:left w:val="none" w:sz="0" w:space="0" w:color="auto"/>
        <w:bottom w:val="none" w:sz="0" w:space="0" w:color="auto"/>
        <w:right w:val="none" w:sz="0" w:space="0" w:color="auto"/>
      </w:divBdr>
    </w:div>
    <w:div w:id="504705900">
      <w:bodyDiv w:val="1"/>
      <w:marLeft w:val="0"/>
      <w:marRight w:val="0"/>
      <w:marTop w:val="0"/>
      <w:marBottom w:val="0"/>
      <w:divBdr>
        <w:top w:val="none" w:sz="0" w:space="0" w:color="auto"/>
        <w:left w:val="none" w:sz="0" w:space="0" w:color="auto"/>
        <w:bottom w:val="none" w:sz="0" w:space="0" w:color="auto"/>
        <w:right w:val="none" w:sz="0" w:space="0" w:color="auto"/>
      </w:divBdr>
    </w:div>
    <w:div w:id="505831022">
      <w:bodyDiv w:val="1"/>
      <w:marLeft w:val="0"/>
      <w:marRight w:val="0"/>
      <w:marTop w:val="0"/>
      <w:marBottom w:val="0"/>
      <w:divBdr>
        <w:top w:val="none" w:sz="0" w:space="0" w:color="auto"/>
        <w:left w:val="none" w:sz="0" w:space="0" w:color="auto"/>
        <w:bottom w:val="none" w:sz="0" w:space="0" w:color="auto"/>
        <w:right w:val="none" w:sz="0" w:space="0" w:color="auto"/>
      </w:divBdr>
    </w:div>
    <w:div w:id="508758619">
      <w:bodyDiv w:val="1"/>
      <w:marLeft w:val="0"/>
      <w:marRight w:val="0"/>
      <w:marTop w:val="0"/>
      <w:marBottom w:val="0"/>
      <w:divBdr>
        <w:top w:val="none" w:sz="0" w:space="0" w:color="auto"/>
        <w:left w:val="none" w:sz="0" w:space="0" w:color="auto"/>
        <w:bottom w:val="none" w:sz="0" w:space="0" w:color="auto"/>
        <w:right w:val="none" w:sz="0" w:space="0" w:color="auto"/>
      </w:divBdr>
    </w:div>
    <w:div w:id="511454784">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29760221">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38444349">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568467550">
      <w:bodyDiv w:val="1"/>
      <w:marLeft w:val="0"/>
      <w:marRight w:val="0"/>
      <w:marTop w:val="0"/>
      <w:marBottom w:val="0"/>
      <w:divBdr>
        <w:top w:val="none" w:sz="0" w:space="0" w:color="auto"/>
        <w:left w:val="none" w:sz="0" w:space="0" w:color="auto"/>
        <w:bottom w:val="none" w:sz="0" w:space="0" w:color="auto"/>
        <w:right w:val="none" w:sz="0" w:space="0" w:color="auto"/>
      </w:divBdr>
    </w:div>
    <w:div w:id="584926181">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21032131">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33175838">
      <w:bodyDiv w:val="1"/>
      <w:marLeft w:val="0"/>
      <w:marRight w:val="0"/>
      <w:marTop w:val="0"/>
      <w:marBottom w:val="0"/>
      <w:divBdr>
        <w:top w:val="none" w:sz="0" w:space="0" w:color="auto"/>
        <w:left w:val="none" w:sz="0" w:space="0" w:color="auto"/>
        <w:bottom w:val="none" w:sz="0" w:space="0" w:color="auto"/>
        <w:right w:val="none" w:sz="0" w:space="0" w:color="auto"/>
      </w:divBdr>
    </w:div>
    <w:div w:id="637564510">
      <w:bodyDiv w:val="1"/>
      <w:marLeft w:val="0"/>
      <w:marRight w:val="0"/>
      <w:marTop w:val="0"/>
      <w:marBottom w:val="0"/>
      <w:divBdr>
        <w:top w:val="none" w:sz="0" w:space="0" w:color="auto"/>
        <w:left w:val="none" w:sz="0" w:space="0" w:color="auto"/>
        <w:bottom w:val="none" w:sz="0" w:space="0" w:color="auto"/>
        <w:right w:val="none" w:sz="0" w:space="0" w:color="auto"/>
      </w:divBdr>
    </w:div>
    <w:div w:id="642659356">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63049949">
      <w:bodyDiv w:val="1"/>
      <w:marLeft w:val="0"/>
      <w:marRight w:val="0"/>
      <w:marTop w:val="0"/>
      <w:marBottom w:val="0"/>
      <w:divBdr>
        <w:top w:val="none" w:sz="0" w:space="0" w:color="auto"/>
        <w:left w:val="none" w:sz="0" w:space="0" w:color="auto"/>
        <w:bottom w:val="none" w:sz="0" w:space="0" w:color="auto"/>
        <w:right w:val="none" w:sz="0" w:space="0" w:color="auto"/>
      </w:divBdr>
    </w:div>
    <w:div w:id="663826822">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254520">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691958709">
      <w:bodyDiv w:val="1"/>
      <w:marLeft w:val="0"/>
      <w:marRight w:val="0"/>
      <w:marTop w:val="0"/>
      <w:marBottom w:val="0"/>
      <w:divBdr>
        <w:top w:val="none" w:sz="0" w:space="0" w:color="auto"/>
        <w:left w:val="none" w:sz="0" w:space="0" w:color="auto"/>
        <w:bottom w:val="none" w:sz="0" w:space="0" w:color="auto"/>
        <w:right w:val="none" w:sz="0" w:space="0" w:color="auto"/>
      </w:divBdr>
    </w:div>
    <w:div w:id="699011484">
      <w:bodyDiv w:val="1"/>
      <w:marLeft w:val="0"/>
      <w:marRight w:val="0"/>
      <w:marTop w:val="0"/>
      <w:marBottom w:val="0"/>
      <w:divBdr>
        <w:top w:val="none" w:sz="0" w:space="0" w:color="auto"/>
        <w:left w:val="none" w:sz="0" w:space="0" w:color="auto"/>
        <w:bottom w:val="none" w:sz="0" w:space="0" w:color="auto"/>
        <w:right w:val="none" w:sz="0" w:space="0" w:color="auto"/>
      </w:divBdr>
    </w:div>
    <w:div w:id="70078530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0374447">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13506746">
      <w:bodyDiv w:val="1"/>
      <w:marLeft w:val="0"/>
      <w:marRight w:val="0"/>
      <w:marTop w:val="0"/>
      <w:marBottom w:val="0"/>
      <w:divBdr>
        <w:top w:val="none" w:sz="0" w:space="0" w:color="auto"/>
        <w:left w:val="none" w:sz="0" w:space="0" w:color="auto"/>
        <w:bottom w:val="none" w:sz="0" w:space="0" w:color="auto"/>
        <w:right w:val="none" w:sz="0" w:space="0" w:color="auto"/>
      </w:divBdr>
    </w:div>
    <w:div w:id="719981600">
      <w:bodyDiv w:val="1"/>
      <w:marLeft w:val="0"/>
      <w:marRight w:val="0"/>
      <w:marTop w:val="0"/>
      <w:marBottom w:val="0"/>
      <w:divBdr>
        <w:top w:val="none" w:sz="0" w:space="0" w:color="auto"/>
        <w:left w:val="none" w:sz="0" w:space="0" w:color="auto"/>
        <w:bottom w:val="none" w:sz="0" w:space="0" w:color="auto"/>
        <w:right w:val="none" w:sz="0" w:space="0" w:color="auto"/>
      </w:divBdr>
    </w:div>
    <w:div w:id="730614402">
      <w:bodyDiv w:val="1"/>
      <w:marLeft w:val="0"/>
      <w:marRight w:val="0"/>
      <w:marTop w:val="0"/>
      <w:marBottom w:val="0"/>
      <w:divBdr>
        <w:top w:val="none" w:sz="0" w:space="0" w:color="auto"/>
        <w:left w:val="none" w:sz="0" w:space="0" w:color="auto"/>
        <w:bottom w:val="none" w:sz="0" w:space="0" w:color="auto"/>
        <w:right w:val="none" w:sz="0" w:space="0" w:color="auto"/>
      </w:divBdr>
    </w:div>
    <w:div w:id="735319282">
      <w:bodyDiv w:val="1"/>
      <w:marLeft w:val="0"/>
      <w:marRight w:val="0"/>
      <w:marTop w:val="0"/>
      <w:marBottom w:val="0"/>
      <w:divBdr>
        <w:top w:val="none" w:sz="0" w:space="0" w:color="auto"/>
        <w:left w:val="none" w:sz="0" w:space="0" w:color="auto"/>
        <w:bottom w:val="none" w:sz="0" w:space="0" w:color="auto"/>
        <w:right w:val="none" w:sz="0" w:space="0" w:color="auto"/>
      </w:divBdr>
    </w:div>
    <w:div w:id="751203756">
      <w:bodyDiv w:val="1"/>
      <w:marLeft w:val="0"/>
      <w:marRight w:val="0"/>
      <w:marTop w:val="0"/>
      <w:marBottom w:val="0"/>
      <w:divBdr>
        <w:top w:val="none" w:sz="0" w:space="0" w:color="auto"/>
        <w:left w:val="none" w:sz="0" w:space="0" w:color="auto"/>
        <w:bottom w:val="none" w:sz="0" w:space="0" w:color="auto"/>
        <w:right w:val="none" w:sz="0" w:space="0" w:color="auto"/>
      </w:divBdr>
      <w:divsChild>
        <w:div w:id="568656203">
          <w:marLeft w:val="432"/>
          <w:marRight w:val="0"/>
          <w:marTop w:val="240"/>
          <w:marBottom w:val="0"/>
          <w:divBdr>
            <w:top w:val="none" w:sz="0" w:space="0" w:color="auto"/>
            <w:left w:val="none" w:sz="0" w:space="0" w:color="auto"/>
            <w:bottom w:val="none" w:sz="0" w:space="0" w:color="auto"/>
            <w:right w:val="none" w:sz="0" w:space="0" w:color="auto"/>
          </w:divBdr>
        </w:div>
        <w:div w:id="475687226">
          <w:marLeft w:val="432"/>
          <w:marRight w:val="0"/>
          <w:marTop w:val="240"/>
          <w:marBottom w:val="0"/>
          <w:divBdr>
            <w:top w:val="none" w:sz="0" w:space="0" w:color="auto"/>
            <w:left w:val="none" w:sz="0" w:space="0" w:color="auto"/>
            <w:bottom w:val="none" w:sz="0" w:space="0" w:color="auto"/>
            <w:right w:val="none" w:sz="0" w:space="0" w:color="auto"/>
          </w:divBdr>
        </w:div>
        <w:div w:id="484905466">
          <w:marLeft w:val="1267"/>
          <w:marRight w:val="0"/>
          <w:marTop w:val="180"/>
          <w:marBottom w:val="0"/>
          <w:divBdr>
            <w:top w:val="none" w:sz="0" w:space="0" w:color="auto"/>
            <w:left w:val="none" w:sz="0" w:space="0" w:color="auto"/>
            <w:bottom w:val="none" w:sz="0" w:space="0" w:color="auto"/>
            <w:right w:val="none" w:sz="0" w:space="0" w:color="auto"/>
          </w:divBdr>
        </w:div>
        <w:div w:id="1963687245">
          <w:marLeft w:val="1267"/>
          <w:marRight w:val="0"/>
          <w:marTop w:val="180"/>
          <w:marBottom w:val="0"/>
          <w:divBdr>
            <w:top w:val="none" w:sz="0" w:space="0" w:color="auto"/>
            <w:left w:val="none" w:sz="0" w:space="0" w:color="auto"/>
            <w:bottom w:val="none" w:sz="0" w:space="0" w:color="auto"/>
            <w:right w:val="none" w:sz="0" w:space="0" w:color="auto"/>
          </w:divBdr>
        </w:div>
      </w:divsChild>
    </w:div>
    <w:div w:id="759763165">
      <w:bodyDiv w:val="1"/>
      <w:marLeft w:val="0"/>
      <w:marRight w:val="0"/>
      <w:marTop w:val="0"/>
      <w:marBottom w:val="0"/>
      <w:divBdr>
        <w:top w:val="none" w:sz="0" w:space="0" w:color="auto"/>
        <w:left w:val="none" w:sz="0" w:space="0" w:color="auto"/>
        <w:bottom w:val="none" w:sz="0" w:space="0" w:color="auto"/>
        <w:right w:val="none" w:sz="0" w:space="0" w:color="auto"/>
      </w:divBdr>
    </w:div>
    <w:div w:id="760024076">
      <w:bodyDiv w:val="1"/>
      <w:marLeft w:val="0"/>
      <w:marRight w:val="0"/>
      <w:marTop w:val="0"/>
      <w:marBottom w:val="0"/>
      <w:divBdr>
        <w:top w:val="none" w:sz="0" w:space="0" w:color="auto"/>
        <w:left w:val="none" w:sz="0" w:space="0" w:color="auto"/>
        <w:bottom w:val="none" w:sz="0" w:space="0" w:color="auto"/>
        <w:right w:val="none" w:sz="0" w:space="0" w:color="auto"/>
      </w:divBdr>
      <w:divsChild>
        <w:div w:id="1589652397">
          <w:marLeft w:val="1166"/>
          <w:marRight w:val="0"/>
          <w:marTop w:val="0"/>
          <w:marBottom w:val="0"/>
          <w:divBdr>
            <w:top w:val="none" w:sz="0" w:space="0" w:color="auto"/>
            <w:left w:val="none" w:sz="0" w:space="0" w:color="auto"/>
            <w:bottom w:val="none" w:sz="0" w:space="0" w:color="auto"/>
            <w:right w:val="none" w:sz="0" w:space="0" w:color="auto"/>
          </w:divBdr>
        </w:div>
        <w:div w:id="944772868">
          <w:marLeft w:val="1166"/>
          <w:marRight w:val="0"/>
          <w:marTop w:val="0"/>
          <w:marBottom w:val="0"/>
          <w:divBdr>
            <w:top w:val="none" w:sz="0" w:space="0" w:color="auto"/>
            <w:left w:val="none" w:sz="0" w:space="0" w:color="auto"/>
            <w:bottom w:val="none" w:sz="0" w:space="0" w:color="auto"/>
            <w:right w:val="none" w:sz="0" w:space="0" w:color="auto"/>
          </w:divBdr>
        </w:div>
        <w:div w:id="1680812580">
          <w:marLeft w:val="1886"/>
          <w:marRight w:val="0"/>
          <w:marTop w:val="0"/>
          <w:marBottom w:val="0"/>
          <w:divBdr>
            <w:top w:val="none" w:sz="0" w:space="0" w:color="auto"/>
            <w:left w:val="none" w:sz="0" w:space="0" w:color="auto"/>
            <w:bottom w:val="none" w:sz="0" w:space="0" w:color="auto"/>
            <w:right w:val="none" w:sz="0" w:space="0" w:color="auto"/>
          </w:divBdr>
        </w:div>
      </w:divsChild>
    </w:div>
    <w:div w:id="762805439">
      <w:bodyDiv w:val="1"/>
      <w:marLeft w:val="0"/>
      <w:marRight w:val="0"/>
      <w:marTop w:val="0"/>
      <w:marBottom w:val="0"/>
      <w:divBdr>
        <w:top w:val="none" w:sz="0" w:space="0" w:color="auto"/>
        <w:left w:val="none" w:sz="0" w:space="0" w:color="auto"/>
        <w:bottom w:val="none" w:sz="0" w:space="0" w:color="auto"/>
        <w:right w:val="none" w:sz="0" w:space="0" w:color="auto"/>
      </w:divBdr>
    </w:div>
    <w:div w:id="764426592">
      <w:bodyDiv w:val="1"/>
      <w:marLeft w:val="0"/>
      <w:marRight w:val="0"/>
      <w:marTop w:val="0"/>
      <w:marBottom w:val="0"/>
      <w:divBdr>
        <w:top w:val="none" w:sz="0" w:space="0" w:color="auto"/>
        <w:left w:val="none" w:sz="0" w:space="0" w:color="auto"/>
        <w:bottom w:val="none" w:sz="0" w:space="0" w:color="auto"/>
        <w:right w:val="none" w:sz="0" w:space="0" w:color="auto"/>
      </w:divBdr>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68237096">
      <w:bodyDiv w:val="1"/>
      <w:marLeft w:val="0"/>
      <w:marRight w:val="0"/>
      <w:marTop w:val="0"/>
      <w:marBottom w:val="0"/>
      <w:divBdr>
        <w:top w:val="none" w:sz="0" w:space="0" w:color="auto"/>
        <w:left w:val="none" w:sz="0" w:space="0" w:color="auto"/>
        <w:bottom w:val="none" w:sz="0" w:space="0" w:color="auto"/>
        <w:right w:val="none" w:sz="0" w:space="0" w:color="auto"/>
      </w:divBdr>
    </w:div>
    <w:div w:id="783231220">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35074220">
      <w:bodyDiv w:val="1"/>
      <w:marLeft w:val="0"/>
      <w:marRight w:val="0"/>
      <w:marTop w:val="0"/>
      <w:marBottom w:val="0"/>
      <w:divBdr>
        <w:top w:val="none" w:sz="0" w:space="0" w:color="auto"/>
        <w:left w:val="none" w:sz="0" w:space="0" w:color="auto"/>
        <w:bottom w:val="none" w:sz="0" w:space="0" w:color="auto"/>
        <w:right w:val="none" w:sz="0" w:space="0" w:color="auto"/>
      </w:divBdr>
    </w:div>
    <w:div w:id="836842425">
      <w:bodyDiv w:val="1"/>
      <w:marLeft w:val="0"/>
      <w:marRight w:val="0"/>
      <w:marTop w:val="0"/>
      <w:marBottom w:val="0"/>
      <w:divBdr>
        <w:top w:val="none" w:sz="0" w:space="0" w:color="auto"/>
        <w:left w:val="none" w:sz="0" w:space="0" w:color="auto"/>
        <w:bottom w:val="none" w:sz="0" w:space="0" w:color="auto"/>
        <w:right w:val="none" w:sz="0" w:space="0" w:color="auto"/>
      </w:divBdr>
    </w:div>
    <w:div w:id="845940958">
      <w:bodyDiv w:val="1"/>
      <w:marLeft w:val="0"/>
      <w:marRight w:val="0"/>
      <w:marTop w:val="0"/>
      <w:marBottom w:val="0"/>
      <w:divBdr>
        <w:top w:val="none" w:sz="0" w:space="0" w:color="auto"/>
        <w:left w:val="none" w:sz="0" w:space="0" w:color="auto"/>
        <w:bottom w:val="none" w:sz="0" w:space="0" w:color="auto"/>
        <w:right w:val="none" w:sz="0" w:space="0" w:color="auto"/>
      </w:divBdr>
    </w:div>
    <w:div w:id="848060575">
      <w:bodyDiv w:val="1"/>
      <w:marLeft w:val="0"/>
      <w:marRight w:val="0"/>
      <w:marTop w:val="0"/>
      <w:marBottom w:val="0"/>
      <w:divBdr>
        <w:top w:val="none" w:sz="0" w:space="0" w:color="auto"/>
        <w:left w:val="none" w:sz="0" w:space="0" w:color="auto"/>
        <w:bottom w:val="none" w:sz="0" w:space="0" w:color="auto"/>
        <w:right w:val="none" w:sz="0" w:space="0" w:color="auto"/>
      </w:divBdr>
      <w:divsChild>
        <w:div w:id="1249537261">
          <w:marLeft w:val="432"/>
          <w:marRight w:val="0"/>
          <w:marTop w:val="240"/>
          <w:marBottom w:val="0"/>
          <w:divBdr>
            <w:top w:val="none" w:sz="0" w:space="0" w:color="auto"/>
            <w:left w:val="none" w:sz="0" w:space="0" w:color="auto"/>
            <w:bottom w:val="none" w:sz="0" w:space="0" w:color="auto"/>
            <w:right w:val="none" w:sz="0" w:space="0" w:color="auto"/>
          </w:divBdr>
        </w:div>
        <w:div w:id="2090152107">
          <w:marLeft w:val="432"/>
          <w:marRight w:val="0"/>
          <w:marTop w:val="240"/>
          <w:marBottom w:val="0"/>
          <w:divBdr>
            <w:top w:val="none" w:sz="0" w:space="0" w:color="auto"/>
            <w:left w:val="none" w:sz="0" w:space="0" w:color="auto"/>
            <w:bottom w:val="none" w:sz="0" w:space="0" w:color="auto"/>
            <w:right w:val="none" w:sz="0" w:space="0" w:color="auto"/>
          </w:divBdr>
        </w:div>
      </w:divsChild>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55192887">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78516720">
      <w:bodyDiv w:val="1"/>
      <w:marLeft w:val="0"/>
      <w:marRight w:val="0"/>
      <w:marTop w:val="0"/>
      <w:marBottom w:val="0"/>
      <w:divBdr>
        <w:top w:val="none" w:sz="0" w:space="0" w:color="auto"/>
        <w:left w:val="none" w:sz="0" w:space="0" w:color="auto"/>
        <w:bottom w:val="none" w:sz="0" w:space="0" w:color="auto"/>
        <w:right w:val="none" w:sz="0" w:space="0" w:color="auto"/>
      </w:divBdr>
    </w:div>
    <w:div w:id="880704699">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04993199">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17593879">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35753494">
      <w:bodyDiv w:val="1"/>
      <w:marLeft w:val="0"/>
      <w:marRight w:val="0"/>
      <w:marTop w:val="0"/>
      <w:marBottom w:val="0"/>
      <w:divBdr>
        <w:top w:val="none" w:sz="0" w:space="0" w:color="auto"/>
        <w:left w:val="none" w:sz="0" w:space="0" w:color="auto"/>
        <w:bottom w:val="none" w:sz="0" w:space="0" w:color="auto"/>
        <w:right w:val="none" w:sz="0" w:space="0" w:color="auto"/>
      </w:divBdr>
    </w:div>
    <w:div w:id="937251537">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59144723">
      <w:bodyDiv w:val="1"/>
      <w:marLeft w:val="0"/>
      <w:marRight w:val="0"/>
      <w:marTop w:val="0"/>
      <w:marBottom w:val="0"/>
      <w:divBdr>
        <w:top w:val="none" w:sz="0" w:space="0" w:color="auto"/>
        <w:left w:val="none" w:sz="0" w:space="0" w:color="auto"/>
        <w:bottom w:val="none" w:sz="0" w:space="0" w:color="auto"/>
        <w:right w:val="none" w:sz="0" w:space="0" w:color="auto"/>
      </w:divBdr>
    </w:div>
    <w:div w:id="967856000">
      <w:bodyDiv w:val="1"/>
      <w:marLeft w:val="0"/>
      <w:marRight w:val="0"/>
      <w:marTop w:val="0"/>
      <w:marBottom w:val="0"/>
      <w:divBdr>
        <w:top w:val="none" w:sz="0" w:space="0" w:color="auto"/>
        <w:left w:val="none" w:sz="0" w:space="0" w:color="auto"/>
        <w:bottom w:val="none" w:sz="0" w:space="0" w:color="auto"/>
        <w:right w:val="none" w:sz="0" w:space="0" w:color="auto"/>
      </w:divBdr>
    </w:div>
    <w:div w:id="970670699">
      <w:bodyDiv w:val="1"/>
      <w:marLeft w:val="0"/>
      <w:marRight w:val="0"/>
      <w:marTop w:val="0"/>
      <w:marBottom w:val="0"/>
      <w:divBdr>
        <w:top w:val="none" w:sz="0" w:space="0" w:color="auto"/>
        <w:left w:val="none" w:sz="0" w:space="0" w:color="auto"/>
        <w:bottom w:val="none" w:sz="0" w:space="0" w:color="auto"/>
        <w:right w:val="none" w:sz="0" w:space="0" w:color="auto"/>
      </w:divBdr>
    </w:div>
    <w:div w:id="979386822">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990258663">
      <w:bodyDiv w:val="1"/>
      <w:marLeft w:val="0"/>
      <w:marRight w:val="0"/>
      <w:marTop w:val="0"/>
      <w:marBottom w:val="0"/>
      <w:divBdr>
        <w:top w:val="none" w:sz="0" w:space="0" w:color="auto"/>
        <w:left w:val="none" w:sz="0" w:space="0" w:color="auto"/>
        <w:bottom w:val="none" w:sz="0" w:space="0" w:color="auto"/>
        <w:right w:val="none" w:sz="0" w:space="0" w:color="auto"/>
      </w:divBdr>
    </w:div>
    <w:div w:id="99714743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17123535">
      <w:bodyDiv w:val="1"/>
      <w:marLeft w:val="0"/>
      <w:marRight w:val="0"/>
      <w:marTop w:val="0"/>
      <w:marBottom w:val="0"/>
      <w:divBdr>
        <w:top w:val="none" w:sz="0" w:space="0" w:color="auto"/>
        <w:left w:val="none" w:sz="0" w:space="0" w:color="auto"/>
        <w:bottom w:val="none" w:sz="0" w:space="0" w:color="auto"/>
        <w:right w:val="none" w:sz="0" w:space="0" w:color="auto"/>
      </w:divBdr>
      <w:divsChild>
        <w:div w:id="741368213">
          <w:marLeft w:val="1166"/>
          <w:marRight w:val="0"/>
          <w:marTop w:val="0"/>
          <w:marBottom w:val="0"/>
          <w:divBdr>
            <w:top w:val="none" w:sz="0" w:space="0" w:color="auto"/>
            <w:left w:val="none" w:sz="0" w:space="0" w:color="auto"/>
            <w:bottom w:val="none" w:sz="0" w:space="0" w:color="auto"/>
            <w:right w:val="none" w:sz="0" w:space="0" w:color="auto"/>
          </w:divBdr>
        </w:div>
      </w:divsChild>
    </w:div>
    <w:div w:id="1022124520">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29834275">
      <w:bodyDiv w:val="1"/>
      <w:marLeft w:val="0"/>
      <w:marRight w:val="0"/>
      <w:marTop w:val="0"/>
      <w:marBottom w:val="0"/>
      <w:divBdr>
        <w:top w:val="none" w:sz="0" w:space="0" w:color="auto"/>
        <w:left w:val="none" w:sz="0" w:space="0" w:color="auto"/>
        <w:bottom w:val="none" w:sz="0" w:space="0" w:color="auto"/>
        <w:right w:val="none" w:sz="0" w:space="0" w:color="auto"/>
      </w:divBdr>
    </w:div>
    <w:div w:id="103357320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38702139">
      <w:bodyDiv w:val="1"/>
      <w:marLeft w:val="0"/>
      <w:marRight w:val="0"/>
      <w:marTop w:val="0"/>
      <w:marBottom w:val="0"/>
      <w:divBdr>
        <w:top w:val="none" w:sz="0" w:space="0" w:color="auto"/>
        <w:left w:val="none" w:sz="0" w:space="0" w:color="auto"/>
        <w:bottom w:val="none" w:sz="0" w:space="0" w:color="auto"/>
        <w:right w:val="none" w:sz="0" w:space="0" w:color="auto"/>
      </w:divBdr>
    </w:div>
    <w:div w:id="1040933138">
      <w:bodyDiv w:val="1"/>
      <w:marLeft w:val="0"/>
      <w:marRight w:val="0"/>
      <w:marTop w:val="0"/>
      <w:marBottom w:val="0"/>
      <w:divBdr>
        <w:top w:val="none" w:sz="0" w:space="0" w:color="auto"/>
        <w:left w:val="none" w:sz="0" w:space="0" w:color="auto"/>
        <w:bottom w:val="none" w:sz="0" w:space="0" w:color="auto"/>
        <w:right w:val="none" w:sz="0" w:space="0" w:color="auto"/>
      </w:divBdr>
    </w:div>
    <w:div w:id="1046372761">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55740586">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79907205">
      <w:bodyDiv w:val="1"/>
      <w:marLeft w:val="0"/>
      <w:marRight w:val="0"/>
      <w:marTop w:val="0"/>
      <w:marBottom w:val="0"/>
      <w:divBdr>
        <w:top w:val="none" w:sz="0" w:space="0" w:color="auto"/>
        <w:left w:val="none" w:sz="0" w:space="0" w:color="auto"/>
        <w:bottom w:val="none" w:sz="0" w:space="0" w:color="auto"/>
        <w:right w:val="none" w:sz="0" w:space="0" w:color="auto"/>
      </w:divBdr>
    </w:div>
    <w:div w:id="1087964802">
      <w:bodyDiv w:val="1"/>
      <w:marLeft w:val="0"/>
      <w:marRight w:val="0"/>
      <w:marTop w:val="0"/>
      <w:marBottom w:val="0"/>
      <w:divBdr>
        <w:top w:val="none" w:sz="0" w:space="0" w:color="auto"/>
        <w:left w:val="none" w:sz="0" w:space="0" w:color="auto"/>
        <w:bottom w:val="none" w:sz="0" w:space="0" w:color="auto"/>
        <w:right w:val="none" w:sz="0" w:space="0" w:color="auto"/>
      </w:divBdr>
    </w:div>
    <w:div w:id="1089230095">
      <w:bodyDiv w:val="1"/>
      <w:marLeft w:val="0"/>
      <w:marRight w:val="0"/>
      <w:marTop w:val="0"/>
      <w:marBottom w:val="0"/>
      <w:divBdr>
        <w:top w:val="none" w:sz="0" w:space="0" w:color="auto"/>
        <w:left w:val="none" w:sz="0" w:space="0" w:color="auto"/>
        <w:bottom w:val="none" w:sz="0" w:space="0" w:color="auto"/>
        <w:right w:val="none" w:sz="0" w:space="0" w:color="auto"/>
      </w:divBdr>
    </w:div>
    <w:div w:id="1092356670">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095250158">
      <w:bodyDiv w:val="1"/>
      <w:marLeft w:val="0"/>
      <w:marRight w:val="0"/>
      <w:marTop w:val="0"/>
      <w:marBottom w:val="0"/>
      <w:divBdr>
        <w:top w:val="none" w:sz="0" w:space="0" w:color="auto"/>
        <w:left w:val="none" w:sz="0" w:space="0" w:color="auto"/>
        <w:bottom w:val="none" w:sz="0" w:space="0" w:color="auto"/>
        <w:right w:val="none" w:sz="0" w:space="0" w:color="auto"/>
      </w:divBdr>
    </w:div>
    <w:div w:id="1100947655">
      <w:bodyDiv w:val="1"/>
      <w:marLeft w:val="0"/>
      <w:marRight w:val="0"/>
      <w:marTop w:val="0"/>
      <w:marBottom w:val="0"/>
      <w:divBdr>
        <w:top w:val="none" w:sz="0" w:space="0" w:color="auto"/>
        <w:left w:val="none" w:sz="0" w:space="0" w:color="auto"/>
        <w:bottom w:val="none" w:sz="0" w:space="0" w:color="auto"/>
        <w:right w:val="none" w:sz="0" w:space="0" w:color="auto"/>
      </w:divBdr>
    </w:div>
    <w:div w:id="1119107220">
      <w:bodyDiv w:val="1"/>
      <w:marLeft w:val="0"/>
      <w:marRight w:val="0"/>
      <w:marTop w:val="0"/>
      <w:marBottom w:val="0"/>
      <w:divBdr>
        <w:top w:val="none" w:sz="0" w:space="0" w:color="auto"/>
        <w:left w:val="none" w:sz="0" w:space="0" w:color="auto"/>
        <w:bottom w:val="none" w:sz="0" w:space="0" w:color="auto"/>
        <w:right w:val="none" w:sz="0" w:space="0" w:color="auto"/>
      </w:divBdr>
    </w:div>
    <w:div w:id="1121849844">
      <w:bodyDiv w:val="1"/>
      <w:marLeft w:val="0"/>
      <w:marRight w:val="0"/>
      <w:marTop w:val="0"/>
      <w:marBottom w:val="0"/>
      <w:divBdr>
        <w:top w:val="none" w:sz="0" w:space="0" w:color="auto"/>
        <w:left w:val="none" w:sz="0" w:space="0" w:color="auto"/>
        <w:bottom w:val="none" w:sz="0" w:space="0" w:color="auto"/>
        <w:right w:val="none" w:sz="0" w:space="0" w:color="auto"/>
      </w:divBdr>
    </w:div>
    <w:div w:id="1143279793">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0003680">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79852637">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195072974">
      <w:bodyDiv w:val="1"/>
      <w:marLeft w:val="0"/>
      <w:marRight w:val="0"/>
      <w:marTop w:val="0"/>
      <w:marBottom w:val="0"/>
      <w:divBdr>
        <w:top w:val="none" w:sz="0" w:space="0" w:color="auto"/>
        <w:left w:val="none" w:sz="0" w:space="0" w:color="auto"/>
        <w:bottom w:val="none" w:sz="0" w:space="0" w:color="auto"/>
        <w:right w:val="none" w:sz="0" w:space="0" w:color="auto"/>
      </w:divBdr>
    </w:div>
    <w:div w:id="1196850322">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679426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09607159">
      <w:bodyDiv w:val="1"/>
      <w:marLeft w:val="0"/>
      <w:marRight w:val="0"/>
      <w:marTop w:val="0"/>
      <w:marBottom w:val="0"/>
      <w:divBdr>
        <w:top w:val="none" w:sz="0" w:space="0" w:color="auto"/>
        <w:left w:val="none" w:sz="0" w:space="0" w:color="auto"/>
        <w:bottom w:val="none" w:sz="0" w:space="0" w:color="auto"/>
        <w:right w:val="none" w:sz="0" w:space="0" w:color="auto"/>
      </w:divBdr>
      <w:divsChild>
        <w:div w:id="1389037901">
          <w:marLeft w:val="432"/>
          <w:marRight w:val="0"/>
          <w:marTop w:val="240"/>
          <w:marBottom w:val="0"/>
          <w:divBdr>
            <w:top w:val="none" w:sz="0" w:space="0" w:color="auto"/>
            <w:left w:val="none" w:sz="0" w:space="0" w:color="auto"/>
            <w:bottom w:val="none" w:sz="0" w:space="0" w:color="auto"/>
            <w:right w:val="none" w:sz="0" w:space="0" w:color="auto"/>
          </w:divBdr>
        </w:div>
        <w:div w:id="2097509023">
          <w:marLeft w:val="1267"/>
          <w:marRight w:val="0"/>
          <w:marTop w:val="180"/>
          <w:marBottom w:val="0"/>
          <w:divBdr>
            <w:top w:val="none" w:sz="0" w:space="0" w:color="auto"/>
            <w:left w:val="none" w:sz="0" w:space="0" w:color="auto"/>
            <w:bottom w:val="none" w:sz="0" w:space="0" w:color="auto"/>
            <w:right w:val="none" w:sz="0" w:space="0" w:color="auto"/>
          </w:divBdr>
        </w:div>
        <w:div w:id="26025933">
          <w:marLeft w:val="1267"/>
          <w:marRight w:val="0"/>
          <w:marTop w:val="180"/>
          <w:marBottom w:val="0"/>
          <w:divBdr>
            <w:top w:val="none" w:sz="0" w:space="0" w:color="auto"/>
            <w:left w:val="none" w:sz="0" w:space="0" w:color="auto"/>
            <w:bottom w:val="none" w:sz="0" w:space="0" w:color="auto"/>
            <w:right w:val="none" w:sz="0" w:space="0" w:color="auto"/>
          </w:divBdr>
        </w:div>
        <w:div w:id="276983913">
          <w:marLeft w:val="1699"/>
          <w:marRight w:val="0"/>
          <w:marTop w:val="120"/>
          <w:marBottom w:val="0"/>
          <w:divBdr>
            <w:top w:val="none" w:sz="0" w:space="0" w:color="auto"/>
            <w:left w:val="none" w:sz="0" w:space="0" w:color="auto"/>
            <w:bottom w:val="none" w:sz="0" w:space="0" w:color="auto"/>
            <w:right w:val="none" w:sz="0" w:space="0" w:color="auto"/>
          </w:divBdr>
        </w:div>
        <w:div w:id="1189488026">
          <w:marLeft w:val="1699"/>
          <w:marRight w:val="0"/>
          <w:marTop w:val="120"/>
          <w:marBottom w:val="0"/>
          <w:divBdr>
            <w:top w:val="none" w:sz="0" w:space="0" w:color="auto"/>
            <w:left w:val="none" w:sz="0" w:space="0" w:color="auto"/>
            <w:bottom w:val="none" w:sz="0" w:space="0" w:color="auto"/>
            <w:right w:val="none" w:sz="0" w:space="0" w:color="auto"/>
          </w:divBdr>
        </w:div>
        <w:div w:id="1249000573">
          <w:marLeft w:val="1987"/>
          <w:marRight w:val="0"/>
          <w:marTop w:val="100"/>
          <w:marBottom w:val="0"/>
          <w:divBdr>
            <w:top w:val="none" w:sz="0" w:space="0" w:color="auto"/>
            <w:left w:val="none" w:sz="0" w:space="0" w:color="auto"/>
            <w:bottom w:val="none" w:sz="0" w:space="0" w:color="auto"/>
            <w:right w:val="none" w:sz="0" w:space="0" w:color="auto"/>
          </w:divBdr>
        </w:div>
        <w:div w:id="444544161">
          <w:marLeft w:val="1987"/>
          <w:marRight w:val="0"/>
          <w:marTop w:val="100"/>
          <w:marBottom w:val="0"/>
          <w:divBdr>
            <w:top w:val="none" w:sz="0" w:space="0" w:color="auto"/>
            <w:left w:val="none" w:sz="0" w:space="0" w:color="auto"/>
            <w:bottom w:val="none" w:sz="0" w:space="0" w:color="auto"/>
            <w:right w:val="none" w:sz="0" w:space="0" w:color="auto"/>
          </w:divBdr>
        </w:div>
        <w:div w:id="501706663">
          <w:marLeft w:val="1267"/>
          <w:marRight w:val="0"/>
          <w:marTop w:val="180"/>
          <w:marBottom w:val="0"/>
          <w:divBdr>
            <w:top w:val="none" w:sz="0" w:space="0" w:color="auto"/>
            <w:left w:val="none" w:sz="0" w:space="0" w:color="auto"/>
            <w:bottom w:val="none" w:sz="0" w:space="0" w:color="auto"/>
            <w:right w:val="none" w:sz="0" w:space="0" w:color="auto"/>
          </w:divBdr>
        </w:div>
        <w:div w:id="416365797">
          <w:marLeft w:val="1267"/>
          <w:marRight w:val="0"/>
          <w:marTop w:val="180"/>
          <w:marBottom w:val="0"/>
          <w:divBdr>
            <w:top w:val="none" w:sz="0" w:space="0" w:color="auto"/>
            <w:left w:val="none" w:sz="0" w:space="0" w:color="auto"/>
            <w:bottom w:val="none" w:sz="0" w:space="0" w:color="auto"/>
            <w:right w:val="none" w:sz="0" w:space="0" w:color="auto"/>
          </w:divBdr>
        </w:div>
        <w:div w:id="1172601454">
          <w:marLeft w:val="1699"/>
          <w:marRight w:val="0"/>
          <w:marTop w:val="120"/>
          <w:marBottom w:val="0"/>
          <w:divBdr>
            <w:top w:val="none" w:sz="0" w:space="0" w:color="auto"/>
            <w:left w:val="none" w:sz="0" w:space="0" w:color="auto"/>
            <w:bottom w:val="none" w:sz="0" w:space="0" w:color="auto"/>
            <w:right w:val="none" w:sz="0" w:space="0" w:color="auto"/>
          </w:divBdr>
        </w:div>
        <w:div w:id="1658609754">
          <w:marLeft w:val="432"/>
          <w:marRight w:val="0"/>
          <w:marTop w:val="240"/>
          <w:marBottom w:val="0"/>
          <w:divBdr>
            <w:top w:val="none" w:sz="0" w:space="0" w:color="auto"/>
            <w:left w:val="none" w:sz="0" w:space="0" w:color="auto"/>
            <w:bottom w:val="none" w:sz="0" w:space="0" w:color="auto"/>
            <w:right w:val="none" w:sz="0" w:space="0" w:color="auto"/>
          </w:divBdr>
        </w:div>
        <w:div w:id="888996141">
          <w:marLeft w:val="1267"/>
          <w:marRight w:val="0"/>
          <w:marTop w:val="180"/>
          <w:marBottom w:val="0"/>
          <w:divBdr>
            <w:top w:val="none" w:sz="0" w:space="0" w:color="auto"/>
            <w:left w:val="none" w:sz="0" w:space="0" w:color="auto"/>
            <w:bottom w:val="none" w:sz="0" w:space="0" w:color="auto"/>
            <w:right w:val="none" w:sz="0" w:space="0" w:color="auto"/>
          </w:divBdr>
        </w:div>
        <w:div w:id="37822181">
          <w:marLeft w:val="1267"/>
          <w:marRight w:val="0"/>
          <w:marTop w:val="180"/>
          <w:marBottom w:val="0"/>
          <w:divBdr>
            <w:top w:val="none" w:sz="0" w:space="0" w:color="auto"/>
            <w:left w:val="none" w:sz="0" w:space="0" w:color="auto"/>
            <w:bottom w:val="none" w:sz="0" w:space="0" w:color="auto"/>
            <w:right w:val="none" w:sz="0" w:space="0" w:color="auto"/>
          </w:divBdr>
        </w:div>
        <w:div w:id="401099455">
          <w:marLeft w:val="1699"/>
          <w:marRight w:val="0"/>
          <w:marTop w:val="120"/>
          <w:marBottom w:val="0"/>
          <w:divBdr>
            <w:top w:val="none" w:sz="0" w:space="0" w:color="auto"/>
            <w:left w:val="none" w:sz="0" w:space="0" w:color="auto"/>
            <w:bottom w:val="none" w:sz="0" w:space="0" w:color="auto"/>
            <w:right w:val="none" w:sz="0" w:space="0" w:color="auto"/>
          </w:divBdr>
        </w:div>
        <w:div w:id="1341739194">
          <w:marLeft w:val="1699"/>
          <w:marRight w:val="0"/>
          <w:marTop w:val="120"/>
          <w:marBottom w:val="0"/>
          <w:divBdr>
            <w:top w:val="none" w:sz="0" w:space="0" w:color="auto"/>
            <w:left w:val="none" w:sz="0" w:space="0" w:color="auto"/>
            <w:bottom w:val="none" w:sz="0" w:space="0" w:color="auto"/>
            <w:right w:val="none" w:sz="0" w:space="0" w:color="auto"/>
          </w:divBdr>
        </w:div>
        <w:div w:id="1138231541">
          <w:marLeft w:val="1699"/>
          <w:marRight w:val="0"/>
          <w:marTop w:val="120"/>
          <w:marBottom w:val="0"/>
          <w:divBdr>
            <w:top w:val="none" w:sz="0" w:space="0" w:color="auto"/>
            <w:left w:val="none" w:sz="0" w:space="0" w:color="auto"/>
            <w:bottom w:val="none" w:sz="0" w:space="0" w:color="auto"/>
            <w:right w:val="none" w:sz="0" w:space="0" w:color="auto"/>
          </w:divBdr>
        </w:div>
        <w:div w:id="377630522">
          <w:marLeft w:val="432"/>
          <w:marRight w:val="0"/>
          <w:marTop w:val="240"/>
          <w:marBottom w:val="0"/>
          <w:divBdr>
            <w:top w:val="none" w:sz="0" w:space="0" w:color="auto"/>
            <w:left w:val="none" w:sz="0" w:space="0" w:color="auto"/>
            <w:bottom w:val="none" w:sz="0" w:space="0" w:color="auto"/>
            <w:right w:val="none" w:sz="0" w:space="0" w:color="auto"/>
          </w:divBdr>
        </w:div>
      </w:divsChild>
    </w:div>
    <w:div w:id="1211070259">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42370366">
      <w:bodyDiv w:val="1"/>
      <w:marLeft w:val="0"/>
      <w:marRight w:val="0"/>
      <w:marTop w:val="0"/>
      <w:marBottom w:val="0"/>
      <w:divBdr>
        <w:top w:val="none" w:sz="0" w:space="0" w:color="auto"/>
        <w:left w:val="none" w:sz="0" w:space="0" w:color="auto"/>
        <w:bottom w:val="none" w:sz="0" w:space="0" w:color="auto"/>
        <w:right w:val="none" w:sz="0" w:space="0" w:color="auto"/>
      </w:divBdr>
    </w:div>
    <w:div w:id="1246957823">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57403189">
      <w:bodyDiv w:val="1"/>
      <w:marLeft w:val="0"/>
      <w:marRight w:val="0"/>
      <w:marTop w:val="0"/>
      <w:marBottom w:val="0"/>
      <w:divBdr>
        <w:top w:val="none" w:sz="0" w:space="0" w:color="auto"/>
        <w:left w:val="none" w:sz="0" w:space="0" w:color="auto"/>
        <w:bottom w:val="none" w:sz="0" w:space="0" w:color="auto"/>
        <w:right w:val="none" w:sz="0" w:space="0" w:color="auto"/>
      </w:divBdr>
    </w:div>
    <w:div w:id="1258054272">
      <w:bodyDiv w:val="1"/>
      <w:marLeft w:val="0"/>
      <w:marRight w:val="0"/>
      <w:marTop w:val="0"/>
      <w:marBottom w:val="0"/>
      <w:divBdr>
        <w:top w:val="none" w:sz="0" w:space="0" w:color="auto"/>
        <w:left w:val="none" w:sz="0" w:space="0" w:color="auto"/>
        <w:bottom w:val="none" w:sz="0" w:space="0" w:color="auto"/>
        <w:right w:val="none" w:sz="0" w:space="0" w:color="auto"/>
      </w:divBdr>
    </w:div>
    <w:div w:id="125928673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263879415">
      <w:bodyDiv w:val="1"/>
      <w:marLeft w:val="0"/>
      <w:marRight w:val="0"/>
      <w:marTop w:val="0"/>
      <w:marBottom w:val="0"/>
      <w:divBdr>
        <w:top w:val="none" w:sz="0" w:space="0" w:color="auto"/>
        <w:left w:val="none" w:sz="0" w:space="0" w:color="auto"/>
        <w:bottom w:val="none" w:sz="0" w:space="0" w:color="auto"/>
        <w:right w:val="none" w:sz="0" w:space="0" w:color="auto"/>
      </w:divBdr>
    </w:div>
    <w:div w:id="1267350269">
      <w:bodyDiv w:val="1"/>
      <w:marLeft w:val="0"/>
      <w:marRight w:val="0"/>
      <w:marTop w:val="0"/>
      <w:marBottom w:val="0"/>
      <w:divBdr>
        <w:top w:val="none" w:sz="0" w:space="0" w:color="auto"/>
        <w:left w:val="none" w:sz="0" w:space="0" w:color="auto"/>
        <w:bottom w:val="none" w:sz="0" w:space="0" w:color="auto"/>
        <w:right w:val="none" w:sz="0" w:space="0" w:color="auto"/>
      </w:divBdr>
    </w:div>
    <w:div w:id="1288270703">
      <w:bodyDiv w:val="1"/>
      <w:marLeft w:val="0"/>
      <w:marRight w:val="0"/>
      <w:marTop w:val="0"/>
      <w:marBottom w:val="0"/>
      <w:divBdr>
        <w:top w:val="none" w:sz="0" w:space="0" w:color="auto"/>
        <w:left w:val="none" w:sz="0" w:space="0" w:color="auto"/>
        <w:bottom w:val="none" w:sz="0" w:space="0" w:color="auto"/>
        <w:right w:val="none" w:sz="0" w:space="0" w:color="auto"/>
      </w:divBdr>
    </w:div>
    <w:div w:id="1312638904">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25284502">
      <w:bodyDiv w:val="1"/>
      <w:marLeft w:val="0"/>
      <w:marRight w:val="0"/>
      <w:marTop w:val="0"/>
      <w:marBottom w:val="0"/>
      <w:divBdr>
        <w:top w:val="none" w:sz="0" w:space="0" w:color="auto"/>
        <w:left w:val="none" w:sz="0" w:space="0" w:color="auto"/>
        <w:bottom w:val="none" w:sz="0" w:space="0" w:color="auto"/>
        <w:right w:val="none" w:sz="0" w:space="0" w:color="auto"/>
      </w:divBdr>
    </w:div>
    <w:div w:id="1327436158">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33488076">
      <w:bodyDiv w:val="1"/>
      <w:marLeft w:val="0"/>
      <w:marRight w:val="0"/>
      <w:marTop w:val="0"/>
      <w:marBottom w:val="0"/>
      <w:divBdr>
        <w:top w:val="none" w:sz="0" w:space="0" w:color="auto"/>
        <w:left w:val="none" w:sz="0" w:space="0" w:color="auto"/>
        <w:bottom w:val="none" w:sz="0" w:space="0" w:color="auto"/>
        <w:right w:val="none" w:sz="0" w:space="0" w:color="auto"/>
      </w:divBdr>
    </w:div>
    <w:div w:id="1345784738">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76851450">
      <w:bodyDiv w:val="1"/>
      <w:marLeft w:val="0"/>
      <w:marRight w:val="0"/>
      <w:marTop w:val="0"/>
      <w:marBottom w:val="0"/>
      <w:divBdr>
        <w:top w:val="none" w:sz="0" w:space="0" w:color="auto"/>
        <w:left w:val="none" w:sz="0" w:space="0" w:color="auto"/>
        <w:bottom w:val="none" w:sz="0" w:space="0" w:color="auto"/>
        <w:right w:val="none" w:sz="0" w:space="0" w:color="auto"/>
      </w:divBdr>
    </w:div>
    <w:div w:id="1378042427">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16319923">
      <w:bodyDiv w:val="1"/>
      <w:marLeft w:val="0"/>
      <w:marRight w:val="0"/>
      <w:marTop w:val="0"/>
      <w:marBottom w:val="0"/>
      <w:divBdr>
        <w:top w:val="none" w:sz="0" w:space="0" w:color="auto"/>
        <w:left w:val="none" w:sz="0" w:space="0" w:color="auto"/>
        <w:bottom w:val="none" w:sz="0" w:space="0" w:color="auto"/>
        <w:right w:val="none" w:sz="0" w:space="0" w:color="auto"/>
      </w:divBdr>
    </w:div>
    <w:div w:id="1419130728">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527209">
      <w:bodyDiv w:val="1"/>
      <w:marLeft w:val="0"/>
      <w:marRight w:val="0"/>
      <w:marTop w:val="0"/>
      <w:marBottom w:val="0"/>
      <w:divBdr>
        <w:top w:val="none" w:sz="0" w:space="0" w:color="auto"/>
        <w:left w:val="none" w:sz="0" w:space="0" w:color="auto"/>
        <w:bottom w:val="none" w:sz="0" w:space="0" w:color="auto"/>
        <w:right w:val="none" w:sz="0" w:space="0" w:color="auto"/>
      </w:divBdr>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3918414">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40250974">
      <w:bodyDiv w:val="1"/>
      <w:marLeft w:val="0"/>
      <w:marRight w:val="0"/>
      <w:marTop w:val="0"/>
      <w:marBottom w:val="0"/>
      <w:divBdr>
        <w:top w:val="none" w:sz="0" w:space="0" w:color="auto"/>
        <w:left w:val="none" w:sz="0" w:space="0" w:color="auto"/>
        <w:bottom w:val="none" w:sz="0" w:space="0" w:color="auto"/>
        <w:right w:val="none" w:sz="0" w:space="0" w:color="auto"/>
      </w:divBdr>
    </w:div>
    <w:div w:id="1447893451">
      <w:bodyDiv w:val="1"/>
      <w:marLeft w:val="0"/>
      <w:marRight w:val="0"/>
      <w:marTop w:val="0"/>
      <w:marBottom w:val="0"/>
      <w:divBdr>
        <w:top w:val="none" w:sz="0" w:space="0" w:color="auto"/>
        <w:left w:val="none" w:sz="0" w:space="0" w:color="auto"/>
        <w:bottom w:val="none" w:sz="0" w:space="0" w:color="auto"/>
        <w:right w:val="none" w:sz="0" w:space="0" w:color="auto"/>
      </w:divBdr>
    </w:div>
    <w:div w:id="1450318921">
      <w:bodyDiv w:val="1"/>
      <w:marLeft w:val="0"/>
      <w:marRight w:val="0"/>
      <w:marTop w:val="0"/>
      <w:marBottom w:val="0"/>
      <w:divBdr>
        <w:top w:val="none" w:sz="0" w:space="0" w:color="auto"/>
        <w:left w:val="none" w:sz="0" w:space="0" w:color="auto"/>
        <w:bottom w:val="none" w:sz="0" w:space="0" w:color="auto"/>
        <w:right w:val="none" w:sz="0" w:space="0" w:color="auto"/>
      </w:divBdr>
    </w:div>
    <w:div w:id="1460495787">
      <w:bodyDiv w:val="1"/>
      <w:marLeft w:val="0"/>
      <w:marRight w:val="0"/>
      <w:marTop w:val="0"/>
      <w:marBottom w:val="0"/>
      <w:divBdr>
        <w:top w:val="none" w:sz="0" w:space="0" w:color="auto"/>
        <w:left w:val="none" w:sz="0" w:space="0" w:color="auto"/>
        <w:bottom w:val="none" w:sz="0" w:space="0" w:color="auto"/>
        <w:right w:val="none" w:sz="0" w:space="0" w:color="auto"/>
      </w:divBdr>
    </w:div>
    <w:div w:id="1464154293">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479953401">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3854619">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11675662">
      <w:bodyDiv w:val="1"/>
      <w:marLeft w:val="0"/>
      <w:marRight w:val="0"/>
      <w:marTop w:val="0"/>
      <w:marBottom w:val="0"/>
      <w:divBdr>
        <w:top w:val="none" w:sz="0" w:space="0" w:color="auto"/>
        <w:left w:val="none" w:sz="0" w:space="0" w:color="auto"/>
        <w:bottom w:val="none" w:sz="0" w:space="0" w:color="auto"/>
        <w:right w:val="none" w:sz="0" w:space="0" w:color="auto"/>
      </w:divBdr>
      <w:divsChild>
        <w:div w:id="1881743382">
          <w:marLeft w:val="432"/>
          <w:marRight w:val="0"/>
          <w:marTop w:val="240"/>
          <w:marBottom w:val="0"/>
          <w:divBdr>
            <w:top w:val="none" w:sz="0" w:space="0" w:color="auto"/>
            <w:left w:val="none" w:sz="0" w:space="0" w:color="auto"/>
            <w:bottom w:val="none" w:sz="0" w:space="0" w:color="auto"/>
            <w:right w:val="none" w:sz="0" w:space="0" w:color="auto"/>
          </w:divBdr>
        </w:div>
        <w:div w:id="1069378498">
          <w:marLeft w:val="1267"/>
          <w:marRight w:val="0"/>
          <w:marTop w:val="180"/>
          <w:marBottom w:val="0"/>
          <w:divBdr>
            <w:top w:val="none" w:sz="0" w:space="0" w:color="auto"/>
            <w:left w:val="none" w:sz="0" w:space="0" w:color="auto"/>
            <w:bottom w:val="none" w:sz="0" w:space="0" w:color="auto"/>
            <w:right w:val="none" w:sz="0" w:space="0" w:color="auto"/>
          </w:divBdr>
        </w:div>
        <w:div w:id="1875845034">
          <w:marLeft w:val="1267"/>
          <w:marRight w:val="0"/>
          <w:marTop w:val="180"/>
          <w:marBottom w:val="0"/>
          <w:divBdr>
            <w:top w:val="none" w:sz="0" w:space="0" w:color="auto"/>
            <w:left w:val="none" w:sz="0" w:space="0" w:color="auto"/>
            <w:bottom w:val="none" w:sz="0" w:space="0" w:color="auto"/>
            <w:right w:val="none" w:sz="0" w:space="0" w:color="auto"/>
          </w:divBdr>
        </w:div>
        <w:div w:id="1714385707">
          <w:marLeft w:val="1699"/>
          <w:marRight w:val="0"/>
          <w:marTop w:val="120"/>
          <w:marBottom w:val="0"/>
          <w:divBdr>
            <w:top w:val="none" w:sz="0" w:space="0" w:color="auto"/>
            <w:left w:val="none" w:sz="0" w:space="0" w:color="auto"/>
            <w:bottom w:val="none" w:sz="0" w:space="0" w:color="auto"/>
            <w:right w:val="none" w:sz="0" w:space="0" w:color="auto"/>
          </w:divBdr>
        </w:div>
        <w:div w:id="1323579786">
          <w:marLeft w:val="1699"/>
          <w:marRight w:val="0"/>
          <w:marTop w:val="120"/>
          <w:marBottom w:val="0"/>
          <w:divBdr>
            <w:top w:val="none" w:sz="0" w:space="0" w:color="auto"/>
            <w:left w:val="none" w:sz="0" w:space="0" w:color="auto"/>
            <w:bottom w:val="none" w:sz="0" w:space="0" w:color="auto"/>
            <w:right w:val="none" w:sz="0" w:space="0" w:color="auto"/>
          </w:divBdr>
        </w:div>
        <w:div w:id="1582131399">
          <w:marLeft w:val="1699"/>
          <w:marRight w:val="0"/>
          <w:marTop w:val="120"/>
          <w:marBottom w:val="0"/>
          <w:divBdr>
            <w:top w:val="none" w:sz="0" w:space="0" w:color="auto"/>
            <w:left w:val="none" w:sz="0" w:space="0" w:color="auto"/>
            <w:bottom w:val="none" w:sz="0" w:space="0" w:color="auto"/>
            <w:right w:val="none" w:sz="0" w:space="0" w:color="auto"/>
          </w:divBdr>
        </w:div>
        <w:div w:id="1235239457">
          <w:marLeft w:val="432"/>
          <w:marRight w:val="0"/>
          <w:marTop w:val="240"/>
          <w:marBottom w:val="0"/>
          <w:divBdr>
            <w:top w:val="none" w:sz="0" w:space="0" w:color="auto"/>
            <w:left w:val="none" w:sz="0" w:space="0" w:color="auto"/>
            <w:bottom w:val="none" w:sz="0" w:space="0" w:color="auto"/>
            <w:right w:val="none" w:sz="0" w:space="0" w:color="auto"/>
          </w:divBdr>
        </w:div>
        <w:div w:id="2121141186">
          <w:marLeft w:val="1267"/>
          <w:marRight w:val="0"/>
          <w:marTop w:val="180"/>
          <w:marBottom w:val="0"/>
          <w:divBdr>
            <w:top w:val="none" w:sz="0" w:space="0" w:color="auto"/>
            <w:left w:val="none" w:sz="0" w:space="0" w:color="auto"/>
            <w:bottom w:val="none" w:sz="0" w:space="0" w:color="auto"/>
            <w:right w:val="none" w:sz="0" w:space="0" w:color="auto"/>
          </w:divBdr>
        </w:div>
        <w:div w:id="1726492092">
          <w:marLeft w:val="1267"/>
          <w:marRight w:val="0"/>
          <w:marTop w:val="180"/>
          <w:marBottom w:val="0"/>
          <w:divBdr>
            <w:top w:val="none" w:sz="0" w:space="0" w:color="auto"/>
            <w:left w:val="none" w:sz="0" w:space="0" w:color="auto"/>
            <w:bottom w:val="none" w:sz="0" w:space="0" w:color="auto"/>
            <w:right w:val="none" w:sz="0" w:space="0" w:color="auto"/>
          </w:divBdr>
        </w:div>
        <w:div w:id="287593804">
          <w:marLeft w:val="1267"/>
          <w:marRight w:val="0"/>
          <w:marTop w:val="180"/>
          <w:marBottom w:val="0"/>
          <w:divBdr>
            <w:top w:val="none" w:sz="0" w:space="0" w:color="auto"/>
            <w:left w:val="none" w:sz="0" w:space="0" w:color="auto"/>
            <w:bottom w:val="none" w:sz="0" w:space="0" w:color="auto"/>
            <w:right w:val="none" w:sz="0" w:space="0" w:color="auto"/>
          </w:divBdr>
        </w:div>
      </w:divsChild>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2494245">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36968349">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66913719">
      <w:bodyDiv w:val="1"/>
      <w:marLeft w:val="0"/>
      <w:marRight w:val="0"/>
      <w:marTop w:val="0"/>
      <w:marBottom w:val="0"/>
      <w:divBdr>
        <w:top w:val="none" w:sz="0" w:space="0" w:color="auto"/>
        <w:left w:val="none" w:sz="0" w:space="0" w:color="auto"/>
        <w:bottom w:val="none" w:sz="0" w:space="0" w:color="auto"/>
        <w:right w:val="none" w:sz="0" w:space="0" w:color="auto"/>
      </w:divBdr>
    </w:div>
    <w:div w:id="1567375026">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1890490">
      <w:bodyDiv w:val="1"/>
      <w:marLeft w:val="0"/>
      <w:marRight w:val="0"/>
      <w:marTop w:val="0"/>
      <w:marBottom w:val="0"/>
      <w:divBdr>
        <w:top w:val="none" w:sz="0" w:space="0" w:color="auto"/>
        <w:left w:val="none" w:sz="0" w:space="0" w:color="auto"/>
        <w:bottom w:val="none" w:sz="0" w:space="0" w:color="auto"/>
        <w:right w:val="none" w:sz="0" w:space="0" w:color="auto"/>
      </w:divBdr>
    </w:div>
    <w:div w:id="1572496542">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589459802">
      <w:bodyDiv w:val="1"/>
      <w:marLeft w:val="0"/>
      <w:marRight w:val="0"/>
      <w:marTop w:val="0"/>
      <w:marBottom w:val="0"/>
      <w:divBdr>
        <w:top w:val="none" w:sz="0" w:space="0" w:color="auto"/>
        <w:left w:val="none" w:sz="0" w:space="0" w:color="auto"/>
        <w:bottom w:val="none" w:sz="0" w:space="0" w:color="auto"/>
        <w:right w:val="none" w:sz="0" w:space="0" w:color="auto"/>
      </w:divBdr>
    </w:div>
    <w:div w:id="1623069923">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36445823">
      <w:bodyDiv w:val="1"/>
      <w:marLeft w:val="0"/>
      <w:marRight w:val="0"/>
      <w:marTop w:val="0"/>
      <w:marBottom w:val="0"/>
      <w:divBdr>
        <w:top w:val="none" w:sz="0" w:space="0" w:color="auto"/>
        <w:left w:val="none" w:sz="0" w:space="0" w:color="auto"/>
        <w:bottom w:val="none" w:sz="0" w:space="0" w:color="auto"/>
        <w:right w:val="none" w:sz="0" w:space="0" w:color="auto"/>
      </w:divBdr>
    </w:div>
    <w:div w:id="1637907349">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1599229">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1420157">
      <w:bodyDiv w:val="1"/>
      <w:marLeft w:val="0"/>
      <w:marRight w:val="0"/>
      <w:marTop w:val="0"/>
      <w:marBottom w:val="0"/>
      <w:divBdr>
        <w:top w:val="none" w:sz="0" w:space="0" w:color="auto"/>
        <w:left w:val="none" w:sz="0" w:space="0" w:color="auto"/>
        <w:bottom w:val="none" w:sz="0" w:space="0" w:color="auto"/>
        <w:right w:val="none" w:sz="0" w:space="0" w:color="auto"/>
      </w:divBdr>
    </w:div>
    <w:div w:id="1664433291">
      <w:bodyDiv w:val="1"/>
      <w:marLeft w:val="0"/>
      <w:marRight w:val="0"/>
      <w:marTop w:val="0"/>
      <w:marBottom w:val="0"/>
      <w:divBdr>
        <w:top w:val="none" w:sz="0" w:space="0" w:color="auto"/>
        <w:left w:val="none" w:sz="0" w:space="0" w:color="auto"/>
        <w:bottom w:val="none" w:sz="0" w:space="0" w:color="auto"/>
        <w:right w:val="none" w:sz="0" w:space="0" w:color="auto"/>
      </w:divBdr>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70794081">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689526761">
      <w:bodyDiv w:val="1"/>
      <w:marLeft w:val="0"/>
      <w:marRight w:val="0"/>
      <w:marTop w:val="0"/>
      <w:marBottom w:val="0"/>
      <w:divBdr>
        <w:top w:val="none" w:sz="0" w:space="0" w:color="auto"/>
        <w:left w:val="none" w:sz="0" w:space="0" w:color="auto"/>
        <w:bottom w:val="none" w:sz="0" w:space="0" w:color="auto"/>
        <w:right w:val="none" w:sz="0" w:space="0" w:color="auto"/>
      </w:divBdr>
    </w:div>
    <w:div w:id="1690179978">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07868578">
      <w:bodyDiv w:val="1"/>
      <w:marLeft w:val="0"/>
      <w:marRight w:val="0"/>
      <w:marTop w:val="0"/>
      <w:marBottom w:val="0"/>
      <w:divBdr>
        <w:top w:val="none" w:sz="0" w:space="0" w:color="auto"/>
        <w:left w:val="none" w:sz="0" w:space="0" w:color="auto"/>
        <w:bottom w:val="none" w:sz="0" w:space="0" w:color="auto"/>
        <w:right w:val="none" w:sz="0" w:space="0" w:color="auto"/>
      </w:divBdr>
    </w:div>
    <w:div w:id="1726563432">
      <w:bodyDiv w:val="1"/>
      <w:marLeft w:val="0"/>
      <w:marRight w:val="0"/>
      <w:marTop w:val="0"/>
      <w:marBottom w:val="0"/>
      <w:divBdr>
        <w:top w:val="none" w:sz="0" w:space="0" w:color="auto"/>
        <w:left w:val="none" w:sz="0" w:space="0" w:color="auto"/>
        <w:bottom w:val="none" w:sz="0" w:space="0" w:color="auto"/>
        <w:right w:val="none" w:sz="0" w:space="0" w:color="auto"/>
      </w:divBdr>
      <w:divsChild>
        <w:div w:id="479342879">
          <w:marLeft w:val="1166"/>
          <w:marRight w:val="0"/>
          <w:marTop w:val="0"/>
          <w:marBottom w:val="0"/>
          <w:divBdr>
            <w:top w:val="none" w:sz="0" w:space="0" w:color="auto"/>
            <w:left w:val="none" w:sz="0" w:space="0" w:color="auto"/>
            <w:bottom w:val="none" w:sz="0" w:space="0" w:color="auto"/>
            <w:right w:val="none" w:sz="0" w:space="0" w:color="auto"/>
          </w:divBdr>
        </w:div>
        <w:div w:id="1824160688">
          <w:marLeft w:val="1166"/>
          <w:marRight w:val="0"/>
          <w:marTop w:val="0"/>
          <w:marBottom w:val="0"/>
          <w:divBdr>
            <w:top w:val="none" w:sz="0" w:space="0" w:color="auto"/>
            <w:left w:val="none" w:sz="0" w:space="0" w:color="auto"/>
            <w:bottom w:val="none" w:sz="0" w:space="0" w:color="auto"/>
            <w:right w:val="none" w:sz="0" w:space="0" w:color="auto"/>
          </w:divBdr>
        </w:div>
        <w:div w:id="170612328">
          <w:marLeft w:val="1886"/>
          <w:marRight w:val="0"/>
          <w:marTop w:val="0"/>
          <w:marBottom w:val="0"/>
          <w:divBdr>
            <w:top w:val="none" w:sz="0" w:space="0" w:color="auto"/>
            <w:left w:val="none" w:sz="0" w:space="0" w:color="auto"/>
            <w:bottom w:val="none" w:sz="0" w:space="0" w:color="auto"/>
            <w:right w:val="none" w:sz="0" w:space="0" w:color="auto"/>
          </w:divBdr>
        </w:div>
      </w:divsChild>
    </w:div>
    <w:div w:id="1755122587">
      <w:bodyDiv w:val="1"/>
      <w:marLeft w:val="0"/>
      <w:marRight w:val="0"/>
      <w:marTop w:val="0"/>
      <w:marBottom w:val="0"/>
      <w:divBdr>
        <w:top w:val="none" w:sz="0" w:space="0" w:color="auto"/>
        <w:left w:val="none" w:sz="0" w:space="0" w:color="auto"/>
        <w:bottom w:val="none" w:sz="0" w:space="0" w:color="auto"/>
        <w:right w:val="none" w:sz="0" w:space="0" w:color="auto"/>
      </w:divBdr>
    </w:div>
    <w:div w:id="1767261119">
      <w:bodyDiv w:val="1"/>
      <w:marLeft w:val="0"/>
      <w:marRight w:val="0"/>
      <w:marTop w:val="0"/>
      <w:marBottom w:val="0"/>
      <w:divBdr>
        <w:top w:val="none" w:sz="0" w:space="0" w:color="auto"/>
        <w:left w:val="none" w:sz="0" w:space="0" w:color="auto"/>
        <w:bottom w:val="none" w:sz="0" w:space="0" w:color="auto"/>
        <w:right w:val="none" w:sz="0" w:space="0" w:color="auto"/>
      </w:divBdr>
    </w:div>
    <w:div w:id="1768650390">
      <w:bodyDiv w:val="1"/>
      <w:marLeft w:val="0"/>
      <w:marRight w:val="0"/>
      <w:marTop w:val="0"/>
      <w:marBottom w:val="0"/>
      <w:divBdr>
        <w:top w:val="none" w:sz="0" w:space="0" w:color="auto"/>
        <w:left w:val="none" w:sz="0" w:space="0" w:color="auto"/>
        <w:bottom w:val="none" w:sz="0" w:space="0" w:color="auto"/>
        <w:right w:val="none" w:sz="0" w:space="0" w:color="auto"/>
      </w:divBdr>
    </w:div>
    <w:div w:id="1773545379">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790931121">
      <w:bodyDiv w:val="1"/>
      <w:marLeft w:val="0"/>
      <w:marRight w:val="0"/>
      <w:marTop w:val="0"/>
      <w:marBottom w:val="0"/>
      <w:divBdr>
        <w:top w:val="none" w:sz="0" w:space="0" w:color="auto"/>
        <w:left w:val="none" w:sz="0" w:space="0" w:color="auto"/>
        <w:bottom w:val="none" w:sz="0" w:space="0" w:color="auto"/>
        <w:right w:val="none" w:sz="0" w:space="0" w:color="auto"/>
      </w:divBdr>
    </w:div>
    <w:div w:id="1792288363">
      <w:bodyDiv w:val="1"/>
      <w:marLeft w:val="0"/>
      <w:marRight w:val="0"/>
      <w:marTop w:val="0"/>
      <w:marBottom w:val="0"/>
      <w:divBdr>
        <w:top w:val="none" w:sz="0" w:space="0" w:color="auto"/>
        <w:left w:val="none" w:sz="0" w:space="0" w:color="auto"/>
        <w:bottom w:val="none" w:sz="0" w:space="0" w:color="auto"/>
        <w:right w:val="none" w:sz="0" w:space="0" w:color="auto"/>
      </w:divBdr>
    </w:div>
    <w:div w:id="1794976971">
      <w:bodyDiv w:val="1"/>
      <w:marLeft w:val="0"/>
      <w:marRight w:val="0"/>
      <w:marTop w:val="0"/>
      <w:marBottom w:val="0"/>
      <w:divBdr>
        <w:top w:val="none" w:sz="0" w:space="0" w:color="auto"/>
        <w:left w:val="none" w:sz="0" w:space="0" w:color="auto"/>
        <w:bottom w:val="none" w:sz="0" w:space="0" w:color="auto"/>
        <w:right w:val="none" w:sz="0" w:space="0" w:color="auto"/>
      </w:divBdr>
    </w:div>
    <w:div w:id="1795362259">
      <w:bodyDiv w:val="1"/>
      <w:marLeft w:val="0"/>
      <w:marRight w:val="0"/>
      <w:marTop w:val="0"/>
      <w:marBottom w:val="0"/>
      <w:divBdr>
        <w:top w:val="none" w:sz="0" w:space="0" w:color="auto"/>
        <w:left w:val="none" w:sz="0" w:space="0" w:color="auto"/>
        <w:bottom w:val="none" w:sz="0" w:space="0" w:color="auto"/>
        <w:right w:val="none" w:sz="0" w:space="0" w:color="auto"/>
      </w:divBdr>
    </w:div>
    <w:div w:id="1800100710">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10510603">
      <w:bodyDiv w:val="1"/>
      <w:marLeft w:val="0"/>
      <w:marRight w:val="0"/>
      <w:marTop w:val="0"/>
      <w:marBottom w:val="0"/>
      <w:divBdr>
        <w:top w:val="none" w:sz="0" w:space="0" w:color="auto"/>
        <w:left w:val="none" w:sz="0" w:space="0" w:color="auto"/>
        <w:bottom w:val="none" w:sz="0" w:space="0" w:color="auto"/>
        <w:right w:val="none" w:sz="0" w:space="0" w:color="auto"/>
      </w:divBdr>
    </w:div>
    <w:div w:id="1817796869">
      <w:bodyDiv w:val="1"/>
      <w:marLeft w:val="0"/>
      <w:marRight w:val="0"/>
      <w:marTop w:val="0"/>
      <w:marBottom w:val="0"/>
      <w:divBdr>
        <w:top w:val="none" w:sz="0" w:space="0" w:color="auto"/>
        <w:left w:val="none" w:sz="0" w:space="0" w:color="auto"/>
        <w:bottom w:val="none" w:sz="0" w:space="0" w:color="auto"/>
        <w:right w:val="none" w:sz="0" w:space="0" w:color="auto"/>
      </w:divBdr>
    </w:div>
    <w:div w:id="1824348033">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28666933">
      <w:bodyDiv w:val="1"/>
      <w:marLeft w:val="0"/>
      <w:marRight w:val="0"/>
      <w:marTop w:val="0"/>
      <w:marBottom w:val="0"/>
      <w:divBdr>
        <w:top w:val="none" w:sz="0" w:space="0" w:color="auto"/>
        <w:left w:val="none" w:sz="0" w:space="0" w:color="auto"/>
        <w:bottom w:val="none" w:sz="0" w:space="0" w:color="auto"/>
        <w:right w:val="none" w:sz="0" w:space="0" w:color="auto"/>
      </w:divBdr>
    </w:div>
    <w:div w:id="1832597419">
      <w:bodyDiv w:val="1"/>
      <w:marLeft w:val="0"/>
      <w:marRight w:val="0"/>
      <w:marTop w:val="0"/>
      <w:marBottom w:val="0"/>
      <w:divBdr>
        <w:top w:val="none" w:sz="0" w:space="0" w:color="auto"/>
        <w:left w:val="none" w:sz="0" w:space="0" w:color="auto"/>
        <w:bottom w:val="none" w:sz="0" w:space="0" w:color="auto"/>
        <w:right w:val="none" w:sz="0" w:space="0" w:color="auto"/>
      </w:divBdr>
    </w:div>
    <w:div w:id="1837376336">
      <w:bodyDiv w:val="1"/>
      <w:marLeft w:val="0"/>
      <w:marRight w:val="0"/>
      <w:marTop w:val="0"/>
      <w:marBottom w:val="0"/>
      <w:divBdr>
        <w:top w:val="none" w:sz="0" w:space="0" w:color="auto"/>
        <w:left w:val="none" w:sz="0" w:space="0" w:color="auto"/>
        <w:bottom w:val="none" w:sz="0" w:space="0" w:color="auto"/>
        <w:right w:val="none" w:sz="0" w:space="0" w:color="auto"/>
      </w:divBdr>
    </w:div>
    <w:div w:id="1845700997">
      <w:bodyDiv w:val="1"/>
      <w:marLeft w:val="0"/>
      <w:marRight w:val="0"/>
      <w:marTop w:val="0"/>
      <w:marBottom w:val="0"/>
      <w:divBdr>
        <w:top w:val="none" w:sz="0" w:space="0" w:color="auto"/>
        <w:left w:val="none" w:sz="0" w:space="0" w:color="auto"/>
        <w:bottom w:val="none" w:sz="0" w:space="0" w:color="auto"/>
        <w:right w:val="none" w:sz="0" w:space="0" w:color="auto"/>
      </w:divBdr>
    </w:div>
    <w:div w:id="1865056016">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887597258">
      <w:bodyDiv w:val="1"/>
      <w:marLeft w:val="0"/>
      <w:marRight w:val="0"/>
      <w:marTop w:val="0"/>
      <w:marBottom w:val="0"/>
      <w:divBdr>
        <w:top w:val="none" w:sz="0" w:space="0" w:color="auto"/>
        <w:left w:val="none" w:sz="0" w:space="0" w:color="auto"/>
        <w:bottom w:val="none" w:sz="0" w:space="0" w:color="auto"/>
        <w:right w:val="none" w:sz="0" w:space="0" w:color="auto"/>
      </w:divBdr>
    </w:div>
    <w:div w:id="1894655973">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02669203">
      <w:bodyDiv w:val="1"/>
      <w:marLeft w:val="0"/>
      <w:marRight w:val="0"/>
      <w:marTop w:val="0"/>
      <w:marBottom w:val="0"/>
      <w:divBdr>
        <w:top w:val="none" w:sz="0" w:space="0" w:color="auto"/>
        <w:left w:val="none" w:sz="0" w:space="0" w:color="auto"/>
        <w:bottom w:val="none" w:sz="0" w:space="0" w:color="auto"/>
        <w:right w:val="none" w:sz="0" w:space="0" w:color="auto"/>
      </w:divBdr>
    </w:div>
    <w:div w:id="1905337184">
      <w:bodyDiv w:val="1"/>
      <w:marLeft w:val="0"/>
      <w:marRight w:val="0"/>
      <w:marTop w:val="0"/>
      <w:marBottom w:val="0"/>
      <w:divBdr>
        <w:top w:val="none" w:sz="0" w:space="0" w:color="auto"/>
        <w:left w:val="none" w:sz="0" w:space="0" w:color="auto"/>
        <w:bottom w:val="none" w:sz="0" w:space="0" w:color="auto"/>
        <w:right w:val="none" w:sz="0" w:space="0" w:color="auto"/>
      </w:divBdr>
    </w:div>
    <w:div w:id="1906259413">
      <w:bodyDiv w:val="1"/>
      <w:marLeft w:val="0"/>
      <w:marRight w:val="0"/>
      <w:marTop w:val="0"/>
      <w:marBottom w:val="0"/>
      <w:divBdr>
        <w:top w:val="none" w:sz="0" w:space="0" w:color="auto"/>
        <w:left w:val="none" w:sz="0" w:space="0" w:color="auto"/>
        <w:bottom w:val="none" w:sz="0" w:space="0" w:color="auto"/>
        <w:right w:val="none" w:sz="0" w:space="0" w:color="auto"/>
      </w:divBdr>
    </w:div>
    <w:div w:id="1906722728">
      <w:bodyDiv w:val="1"/>
      <w:marLeft w:val="0"/>
      <w:marRight w:val="0"/>
      <w:marTop w:val="0"/>
      <w:marBottom w:val="0"/>
      <w:divBdr>
        <w:top w:val="none" w:sz="0" w:space="0" w:color="auto"/>
        <w:left w:val="none" w:sz="0" w:space="0" w:color="auto"/>
        <w:bottom w:val="none" w:sz="0" w:space="0" w:color="auto"/>
        <w:right w:val="none" w:sz="0" w:space="0" w:color="auto"/>
      </w:divBdr>
    </w:div>
    <w:div w:id="1909076665">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30192369">
      <w:bodyDiv w:val="1"/>
      <w:marLeft w:val="0"/>
      <w:marRight w:val="0"/>
      <w:marTop w:val="0"/>
      <w:marBottom w:val="0"/>
      <w:divBdr>
        <w:top w:val="none" w:sz="0" w:space="0" w:color="auto"/>
        <w:left w:val="none" w:sz="0" w:space="0" w:color="auto"/>
        <w:bottom w:val="none" w:sz="0" w:space="0" w:color="auto"/>
        <w:right w:val="none" w:sz="0" w:space="0" w:color="auto"/>
      </w:divBdr>
    </w:div>
    <w:div w:id="1932931301">
      <w:bodyDiv w:val="1"/>
      <w:marLeft w:val="0"/>
      <w:marRight w:val="0"/>
      <w:marTop w:val="0"/>
      <w:marBottom w:val="0"/>
      <w:divBdr>
        <w:top w:val="none" w:sz="0" w:space="0" w:color="auto"/>
        <w:left w:val="none" w:sz="0" w:space="0" w:color="auto"/>
        <w:bottom w:val="none" w:sz="0" w:space="0" w:color="auto"/>
        <w:right w:val="none" w:sz="0" w:space="0" w:color="auto"/>
      </w:divBdr>
    </w:div>
    <w:div w:id="1934894030">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2492559">
      <w:bodyDiv w:val="1"/>
      <w:marLeft w:val="0"/>
      <w:marRight w:val="0"/>
      <w:marTop w:val="0"/>
      <w:marBottom w:val="0"/>
      <w:divBdr>
        <w:top w:val="none" w:sz="0" w:space="0" w:color="auto"/>
        <w:left w:val="none" w:sz="0" w:space="0" w:color="auto"/>
        <w:bottom w:val="none" w:sz="0" w:space="0" w:color="auto"/>
        <w:right w:val="none" w:sz="0" w:space="0" w:color="auto"/>
      </w:divBdr>
      <w:divsChild>
        <w:div w:id="2042585094">
          <w:marLeft w:val="432"/>
          <w:marRight w:val="0"/>
          <w:marTop w:val="240"/>
          <w:marBottom w:val="0"/>
          <w:divBdr>
            <w:top w:val="none" w:sz="0" w:space="0" w:color="auto"/>
            <w:left w:val="none" w:sz="0" w:space="0" w:color="auto"/>
            <w:bottom w:val="none" w:sz="0" w:space="0" w:color="auto"/>
            <w:right w:val="none" w:sz="0" w:space="0" w:color="auto"/>
          </w:divBdr>
        </w:div>
        <w:div w:id="814836967">
          <w:marLeft w:val="432"/>
          <w:marRight w:val="0"/>
          <w:marTop w:val="240"/>
          <w:marBottom w:val="0"/>
          <w:divBdr>
            <w:top w:val="none" w:sz="0" w:space="0" w:color="auto"/>
            <w:left w:val="none" w:sz="0" w:space="0" w:color="auto"/>
            <w:bottom w:val="none" w:sz="0" w:space="0" w:color="auto"/>
            <w:right w:val="none" w:sz="0" w:space="0" w:color="auto"/>
          </w:divBdr>
        </w:div>
      </w:divsChild>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48852972">
      <w:bodyDiv w:val="1"/>
      <w:marLeft w:val="0"/>
      <w:marRight w:val="0"/>
      <w:marTop w:val="0"/>
      <w:marBottom w:val="0"/>
      <w:divBdr>
        <w:top w:val="none" w:sz="0" w:space="0" w:color="auto"/>
        <w:left w:val="none" w:sz="0" w:space="0" w:color="auto"/>
        <w:bottom w:val="none" w:sz="0" w:space="0" w:color="auto"/>
        <w:right w:val="none" w:sz="0" w:space="0" w:color="auto"/>
      </w:divBdr>
    </w:div>
    <w:div w:id="1949385207">
      <w:bodyDiv w:val="1"/>
      <w:marLeft w:val="0"/>
      <w:marRight w:val="0"/>
      <w:marTop w:val="0"/>
      <w:marBottom w:val="0"/>
      <w:divBdr>
        <w:top w:val="none" w:sz="0" w:space="0" w:color="auto"/>
        <w:left w:val="none" w:sz="0" w:space="0" w:color="auto"/>
        <w:bottom w:val="none" w:sz="0" w:space="0" w:color="auto"/>
        <w:right w:val="none" w:sz="0" w:space="0" w:color="auto"/>
      </w:divBdr>
    </w:div>
    <w:div w:id="1951160905">
      <w:bodyDiv w:val="1"/>
      <w:marLeft w:val="0"/>
      <w:marRight w:val="0"/>
      <w:marTop w:val="0"/>
      <w:marBottom w:val="0"/>
      <w:divBdr>
        <w:top w:val="none" w:sz="0" w:space="0" w:color="auto"/>
        <w:left w:val="none" w:sz="0" w:space="0" w:color="auto"/>
        <w:bottom w:val="none" w:sz="0" w:space="0" w:color="auto"/>
        <w:right w:val="none" w:sz="0" w:space="0" w:color="auto"/>
      </w:divBdr>
    </w:div>
    <w:div w:id="1958025763">
      <w:bodyDiv w:val="1"/>
      <w:marLeft w:val="0"/>
      <w:marRight w:val="0"/>
      <w:marTop w:val="0"/>
      <w:marBottom w:val="0"/>
      <w:divBdr>
        <w:top w:val="none" w:sz="0" w:space="0" w:color="auto"/>
        <w:left w:val="none" w:sz="0" w:space="0" w:color="auto"/>
        <w:bottom w:val="none" w:sz="0" w:space="0" w:color="auto"/>
        <w:right w:val="none" w:sz="0" w:space="0" w:color="auto"/>
      </w:divBdr>
    </w:div>
    <w:div w:id="1958294943">
      <w:bodyDiv w:val="1"/>
      <w:marLeft w:val="0"/>
      <w:marRight w:val="0"/>
      <w:marTop w:val="0"/>
      <w:marBottom w:val="0"/>
      <w:divBdr>
        <w:top w:val="none" w:sz="0" w:space="0" w:color="auto"/>
        <w:left w:val="none" w:sz="0" w:space="0" w:color="auto"/>
        <w:bottom w:val="none" w:sz="0" w:space="0" w:color="auto"/>
        <w:right w:val="none" w:sz="0" w:space="0" w:color="auto"/>
      </w:divBdr>
    </w:div>
    <w:div w:id="1960141525">
      <w:bodyDiv w:val="1"/>
      <w:marLeft w:val="0"/>
      <w:marRight w:val="0"/>
      <w:marTop w:val="0"/>
      <w:marBottom w:val="0"/>
      <w:divBdr>
        <w:top w:val="none" w:sz="0" w:space="0" w:color="auto"/>
        <w:left w:val="none" w:sz="0" w:space="0" w:color="auto"/>
        <w:bottom w:val="none" w:sz="0" w:space="0" w:color="auto"/>
        <w:right w:val="none" w:sz="0" w:space="0" w:color="auto"/>
      </w:divBdr>
    </w:div>
    <w:div w:id="1971588853">
      <w:bodyDiv w:val="1"/>
      <w:marLeft w:val="0"/>
      <w:marRight w:val="0"/>
      <w:marTop w:val="0"/>
      <w:marBottom w:val="0"/>
      <w:divBdr>
        <w:top w:val="none" w:sz="0" w:space="0" w:color="auto"/>
        <w:left w:val="none" w:sz="0" w:space="0" w:color="auto"/>
        <w:bottom w:val="none" w:sz="0" w:space="0" w:color="auto"/>
        <w:right w:val="none" w:sz="0" w:space="0" w:color="auto"/>
      </w:divBdr>
    </w:div>
    <w:div w:id="1975212419">
      <w:bodyDiv w:val="1"/>
      <w:marLeft w:val="0"/>
      <w:marRight w:val="0"/>
      <w:marTop w:val="0"/>
      <w:marBottom w:val="0"/>
      <w:divBdr>
        <w:top w:val="none" w:sz="0" w:space="0" w:color="auto"/>
        <w:left w:val="none" w:sz="0" w:space="0" w:color="auto"/>
        <w:bottom w:val="none" w:sz="0" w:space="0" w:color="auto"/>
        <w:right w:val="none" w:sz="0" w:space="0" w:color="auto"/>
      </w:divBdr>
    </w:div>
    <w:div w:id="1978144284">
      <w:bodyDiv w:val="1"/>
      <w:marLeft w:val="0"/>
      <w:marRight w:val="0"/>
      <w:marTop w:val="0"/>
      <w:marBottom w:val="0"/>
      <w:divBdr>
        <w:top w:val="none" w:sz="0" w:space="0" w:color="auto"/>
        <w:left w:val="none" w:sz="0" w:space="0" w:color="auto"/>
        <w:bottom w:val="none" w:sz="0" w:space="0" w:color="auto"/>
        <w:right w:val="none" w:sz="0" w:space="0" w:color="auto"/>
      </w:divBdr>
    </w:div>
    <w:div w:id="1982341494">
      <w:bodyDiv w:val="1"/>
      <w:marLeft w:val="0"/>
      <w:marRight w:val="0"/>
      <w:marTop w:val="0"/>
      <w:marBottom w:val="0"/>
      <w:divBdr>
        <w:top w:val="none" w:sz="0" w:space="0" w:color="auto"/>
        <w:left w:val="none" w:sz="0" w:space="0" w:color="auto"/>
        <w:bottom w:val="none" w:sz="0" w:space="0" w:color="auto"/>
        <w:right w:val="none" w:sz="0" w:space="0" w:color="auto"/>
      </w:divBdr>
    </w:div>
    <w:div w:id="1990204057">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1991858078">
      <w:bodyDiv w:val="1"/>
      <w:marLeft w:val="0"/>
      <w:marRight w:val="0"/>
      <w:marTop w:val="0"/>
      <w:marBottom w:val="0"/>
      <w:divBdr>
        <w:top w:val="none" w:sz="0" w:space="0" w:color="auto"/>
        <w:left w:val="none" w:sz="0" w:space="0" w:color="auto"/>
        <w:bottom w:val="none" w:sz="0" w:space="0" w:color="auto"/>
        <w:right w:val="none" w:sz="0" w:space="0" w:color="auto"/>
      </w:divBdr>
    </w:div>
    <w:div w:id="1992054078">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5103778">
      <w:bodyDiv w:val="1"/>
      <w:marLeft w:val="0"/>
      <w:marRight w:val="0"/>
      <w:marTop w:val="0"/>
      <w:marBottom w:val="0"/>
      <w:divBdr>
        <w:top w:val="none" w:sz="0" w:space="0" w:color="auto"/>
        <w:left w:val="none" w:sz="0" w:space="0" w:color="auto"/>
        <w:bottom w:val="none" w:sz="0" w:space="0" w:color="auto"/>
        <w:right w:val="none" w:sz="0" w:space="0" w:color="auto"/>
      </w:divBdr>
    </w:div>
    <w:div w:id="2016226459">
      <w:bodyDiv w:val="1"/>
      <w:marLeft w:val="0"/>
      <w:marRight w:val="0"/>
      <w:marTop w:val="0"/>
      <w:marBottom w:val="0"/>
      <w:divBdr>
        <w:top w:val="none" w:sz="0" w:space="0" w:color="auto"/>
        <w:left w:val="none" w:sz="0" w:space="0" w:color="auto"/>
        <w:bottom w:val="none" w:sz="0" w:space="0" w:color="auto"/>
        <w:right w:val="none" w:sz="0" w:space="0" w:color="auto"/>
      </w:divBdr>
      <w:divsChild>
        <w:div w:id="1699308288">
          <w:marLeft w:val="446"/>
          <w:marRight w:val="0"/>
          <w:marTop w:val="0"/>
          <w:marBottom w:val="0"/>
          <w:divBdr>
            <w:top w:val="none" w:sz="0" w:space="0" w:color="auto"/>
            <w:left w:val="none" w:sz="0" w:space="0" w:color="auto"/>
            <w:bottom w:val="none" w:sz="0" w:space="0" w:color="auto"/>
            <w:right w:val="none" w:sz="0" w:space="0" w:color="auto"/>
          </w:divBdr>
        </w:div>
        <w:div w:id="870260244">
          <w:marLeft w:val="1166"/>
          <w:marRight w:val="0"/>
          <w:marTop w:val="0"/>
          <w:marBottom w:val="0"/>
          <w:divBdr>
            <w:top w:val="none" w:sz="0" w:space="0" w:color="auto"/>
            <w:left w:val="none" w:sz="0" w:space="0" w:color="auto"/>
            <w:bottom w:val="none" w:sz="0" w:space="0" w:color="auto"/>
            <w:right w:val="none" w:sz="0" w:space="0" w:color="auto"/>
          </w:divBdr>
        </w:div>
      </w:divsChild>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60322415">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73380657">
      <w:bodyDiv w:val="1"/>
      <w:marLeft w:val="0"/>
      <w:marRight w:val="0"/>
      <w:marTop w:val="0"/>
      <w:marBottom w:val="0"/>
      <w:divBdr>
        <w:top w:val="none" w:sz="0" w:space="0" w:color="auto"/>
        <w:left w:val="none" w:sz="0" w:space="0" w:color="auto"/>
        <w:bottom w:val="none" w:sz="0" w:space="0" w:color="auto"/>
        <w:right w:val="none" w:sz="0" w:space="0" w:color="auto"/>
      </w:divBdr>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092002417">
      <w:bodyDiv w:val="1"/>
      <w:marLeft w:val="0"/>
      <w:marRight w:val="0"/>
      <w:marTop w:val="0"/>
      <w:marBottom w:val="0"/>
      <w:divBdr>
        <w:top w:val="none" w:sz="0" w:space="0" w:color="auto"/>
        <w:left w:val="none" w:sz="0" w:space="0" w:color="auto"/>
        <w:bottom w:val="none" w:sz="0" w:space="0" w:color="auto"/>
        <w:right w:val="none" w:sz="0" w:space="0" w:color="auto"/>
      </w:divBdr>
    </w:div>
    <w:div w:id="2096971183">
      <w:bodyDiv w:val="1"/>
      <w:marLeft w:val="0"/>
      <w:marRight w:val="0"/>
      <w:marTop w:val="0"/>
      <w:marBottom w:val="0"/>
      <w:divBdr>
        <w:top w:val="none" w:sz="0" w:space="0" w:color="auto"/>
        <w:left w:val="none" w:sz="0" w:space="0" w:color="auto"/>
        <w:bottom w:val="none" w:sz="0" w:space="0" w:color="auto"/>
        <w:right w:val="none" w:sz="0" w:space="0" w:color="auto"/>
      </w:divBdr>
    </w:div>
    <w:div w:id="2097238992">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09305659">
      <w:bodyDiv w:val="1"/>
      <w:marLeft w:val="0"/>
      <w:marRight w:val="0"/>
      <w:marTop w:val="0"/>
      <w:marBottom w:val="0"/>
      <w:divBdr>
        <w:top w:val="none" w:sz="0" w:space="0" w:color="auto"/>
        <w:left w:val="none" w:sz="0" w:space="0" w:color="auto"/>
        <w:bottom w:val="none" w:sz="0" w:space="0" w:color="auto"/>
        <w:right w:val="none" w:sz="0" w:space="0" w:color="auto"/>
      </w:divBdr>
    </w:div>
    <w:div w:id="2111317373">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3697568">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16754904">
      <w:bodyDiv w:val="1"/>
      <w:marLeft w:val="0"/>
      <w:marRight w:val="0"/>
      <w:marTop w:val="0"/>
      <w:marBottom w:val="0"/>
      <w:divBdr>
        <w:top w:val="none" w:sz="0" w:space="0" w:color="auto"/>
        <w:left w:val="none" w:sz="0" w:space="0" w:color="auto"/>
        <w:bottom w:val="none" w:sz="0" w:space="0" w:color="auto"/>
        <w:right w:val="none" w:sz="0" w:space="0" w:color="auto"/>
      </w:divBdr>
    </w:div>
    <w:div w:id="2118796264">
      <w:bodyDiv w:val="1"/>
      <w:marLeft w:val="0"/>
      <w:marRight w:val="0"/>
      <w:marTop w:val="0"/>
      <w:marBottom w:val="0"/>
      <w:divBdr>
        <w:top w:val="none" w:sz="0" w:space="0" w:color="auto"/>
        <w:left w:val="none" w:sz="0" w:space="0" w:color="auto"/>
        <w:bottom w:val="none" w:sz="0" w:space="0" w:color="auto"/>
        <w:right w:val="none" w:sz="0" w:space="0" w:color="auto"/>
      </w:divBdr>
    </w:div>
    <w:div w:id="2120101806">
      <w:bodyDiv w:val="1"/>
      <w:marLeft w:val="0"/>
      <w:marRight w:val="0"/>
      <w:marTop w:val="0"/>
      <w:marBottom w:val="0"/>
      <w:divBdr>
        <w:top w:val="none" w:sz="0" w:space="0" w:color="auto"/>
        <w:left w:val="none" w:sz="0" w:space="0" w:color="auto"/>
        <w:bottom w:val="none" w:sz="0" w:space="0" w:color="auto"/>
        <w:right w:val="none" w:sz="0" w:space="0" w:color="auto"/>
      </w:divBdr>
    </w:div>
    <w:div w:id="2124105977">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6727737">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 w:id="2127581996">
      <w:bodyDiv w:val="1"/>
      <w:marLeft w:val="0"/>
      <w:marRight w:val="0"/>
      <w:marTop w:val="0"/>
      <w:marBottom w:val="0"/>
      <w:divBdr>
        <w:top w:val="none" w:sz="0" w:space="0" w:color="auto"/>
        <w:left w:val="none" w:sz="0" w:space="0" w:color="auto"/>
        <w:bottom w:val="none" w:sz="0" w:space="0" w:color="auto"/>
        <w:right w:val="none" w:sz="0" w:space="0" w:color="auto"/>
      </w:divBdr>
    </w:div>
    <w:div w:id="2135441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9016E5-FBDB-41A8-BD81-40157B17A89A}">
  <ds:schemaRefs>
    <ds:schemaRef ds:uri="http://purl.org/dc/dcmitype/"/>
    <ds:schemaRef ds:uri="http://schemas.openxmlformats.org/package/2006/metadata/core-properties"/>
    <ds:schemaRef ds:uri="http://purl.org/dc/terms/"/>
    <ds:schemaRef ds:uri="http://schemas.microsoft.com/office/2006/metadata/properties"/>
    <ds:schemaRef ds:uri="http://www.w3.org/XML/1998/namespace"/>
    <ds:schemaRef ds:uri="http://schemas.microsoft.com/office/2006/documentManagement/types"/>
    <ds:schemaRef ds:uri="http://schemas.microsoft.com/office/infopath/2007/PartnerControls"/>
    <ds:schemaRef ds:uri="dfb9c0e7-f8ff-4c2e-83b3-258d4f9c1bfe"/>
    <ds:schemaRef ds:uri="554bdb6f-217d-4cda-85cc-0ca32126c36c"/>
    <ds:schemaRef ds:uri="9238aee7-caa6-41e3-83d0-457e088803cc"/>
    <ds:schemaRef ds:uri="http://purl.org/dc/elements/1.1/"/>
  </ds:schemaRefs>
</ds:datastoreItem>
</file>

<file path=customXml/itemProps2.xml><?xml version="1.0" encoding="utf-8"?>
<ds:datastoreItem xmlns:ds="http://schemas.openxmlformats.org/officeDocument/2006/customXml" ds:itemID="{3A916577-360A-4714-9503-2F7673EDE3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customXml/itemProps4.xml><?xml version="1.0" encoding="utf-8"?>
<ds:datastoreItem xmlns:ds="http://schemas.openxmlformats.org/officeDocument/2006/customXml" ds:itemID="{0672A00D-FBA8-4E49-9ED2-126174DDF344}">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111</TotalTime>
  <Pages>18</Pages>
  <Words>3767</Words>
  <Characters>21474</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25191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27</cp:revision>
  <dcterms:created xsi:type="dcterms:W3CDTF">2025-11-03T06:22:00Z</dcterms:created>
  <dcterms:modified xsi:type="dcterms:W3CDTF">2025-11-07T06:42:00Z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y fmtid="{D5CDD505-2E9C-101B-9397-08002B2CF9AE}" pid="9" name="ContentTypeId">
    <vt:lpwstr>0x010100273864C3BC768F4C83F728553A532E20</vt:lpwstr>
  </property>
  <property fmtid="{D5CDD505-2E9C-101B-9397-08002B2CF9AE}" pid="10" name="Technical Type">
    <vt:lpwstr/>
  </property>
  <property fmtid="{D5CDD505-2E9C-101B-9397-08002B2CF9AE}" pid="11" name="Document Type">
    <vt:lpwstr/>
  </property>
</Properties>
</file>